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419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ind w:left="291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99060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8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ind w:left="3610" w:right="2380" w:hanging="3606"/>
        <w:spacing w:after="0" w:line="382" w:lineRule="auto"/>
        <w:tabs>
          <w:tab w:leader="none" w:pos="533"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 xml:space="preserve">QUARTERLY REPORT PURSUANT TO SECTION 13 OR 15(d) OF THE SECURITIES EXCHANGE ACT OF 1934 </w:t>
      </w:r>
      <w:r>
        <w:rPr>
          <w:rFonts w:ascii="Times New Roman" w:cs="Times New Roman" w:eastAsia="Times New Roman" w:hAnsi="Times New Roman"/>
          <w:sz w:val="14"/>
          <w:szCs w:val="14"/>
          <w:color w:val="auto"/>
        </w:rPr>
        <w:t>For the Quarterly Period Ended September 30, 2025</w:t>
      </w:r>
    </w:p>
    <w:p>
      <w:pPr>
        <w:spacing w:after="0" w:line="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3" w:lineRule="exact"/>
        <w:rPr>
          <w:sz w:val="24"/>
          <w:szCs w:val="24"/>
          <w:color w:val="auto"/>
        </w:rPr>
      </w:pPr>
    </w:p>
    <w:p>
      <w:pPr>
        <w:ind w:left="530" w:hanging="526"/>
        <w:spacing w:after="0"/>
        <w:tabs>
          <w:tab w:leader="none" w:pos="53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4" w:lineRule="exact"/>
        <w:rPr>
          <w:sz w:val="24"/>
          <w:szCs w:val="24"/>
          <w:color w:val="auto"/>
        </w:rPr>
      </w:pPr>
    </w:p>
    <w:tbl>
      <w:tblPr>
        <w:tblLayout w:type="fixed"/>
        <w:tblInd w:w="397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For the transition period from</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to</w:t>
            </w:r>
          </w:p>
        </w:tc>
        <w:tc>
          <w:tcPr>
            <w:tcW w:w="54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267"/>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001-35147</w:t>
            </w: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126365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2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3"/>
          <w:szCs w:val="23"/>
          <w:b w:val="1"/>
          <w:bCs w:val="1"/>
          <w:color w:val="auto"/>
        </w:rPr>
        <w:t>Moatable, Inc.</w:t>
      </w:r>
    </w:p>
    <w:p>
      <w:pPr>
        <w:spacing w:after="0" w:line="3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39370</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6" w:lineRule="exact"/>
        <w:rPr>
          <w:sz w:val="24"/>
          <w:szCs w:val="24"/>
          <w:color w:val="auto"/>
        </w:rPr>
      </w:pPr>
    </w:p>
    <w:tbl>
      <w:tblPr>
        <w:tblLayout w:type="fixed"/>
        <w:tblInd w:w="1650" w:type="dxa"/>
        <w:tblCellMar>
          <w:top w:w="0" w:type="dxa"/>
          <w:left w:w="0" w:type="dxa"/>
          <w:bottom w:w="0" w:type="dxa"/>
          <w:right w:w="0" w:type="dxa"/>
        </w:tblCellMar>
      </w:tblPr>
      <w:tr>
        <w:trPr>
          <w:trHeight w:val="161"/>
        </w:trPr>
        <w:tc>
          <w:tcPr>
            <w:tcW w:w="3420" w:type="dxa"/>
            <w:vAlign w:val="bottom"/>
          </w:tcPr>
          <w:p>
            <w:pPr>
              <w:jc w:val="center"/>
              <w:ind w:right="1508"/>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3600" w:type="dxa"/>
            <w:vAlign w:val="bottom"/>
          </w:tcPr>
          <w:p>
            <w:pPr>
              <w:jc w:val="center"/>
              <w:ind w:left="152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0" w:type="dxa"/>
            <w:vAlign w:val="bottom"/>
          </w:tcPr>
          <w:p>
            <w:pPr>
              <w:spacing w:after="0"/>
              <w:rPr>
                <w:sz w:val="1"/>
                <w:szCs w:val="1"/>
                <w:color w:val="auto"/>
              </w:rPr>
            </w:pPr>
          </w:p>
        </w:tc>
      </w:tr>
      <w:tr>
        <w:trPr>
          <w:trHeight w:val="148"/>
        </w:trPr>
        <w:tc>
          <w:tcPr>
            <w:tcW w:w="3420" w:type="dxa"/>
            <w:vAlign w:val="bottom"/>
          </w:tcPr>
          <w:p>
            <w:pPr>
              <w:jc w:val="center"/>
              <w:ind w:right="156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600" w:type="dxa"/>
            <w:vAlign w:val="bottom"/>
          </w:tcPr>
          <w:p>
            <w:pPr>
              <w:jc w:val="center"/>
              <w:ind w:left="1548"/>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47"/>
        </w:trPr>
        <w:tc>
          <w:tcPr>
            <w:tcW w:w="3420" w:type="dxa"/>
            <w:vAlign w:val="bottom"/>
          </w:tcPr>
          <w:p>
            <w:pPr>
              <w:jc w:val="center"/>
              <w:ind w:right="1528"/>
              <w:spacing w:after="0" w:line="147" w:lineRule="exact"/>
              <w:rPr>
                <w:sz w:val="20"/>
                <w:szCs w:val="20"/>
                <w:color w:val="auto"/>
              </w:rPr>
            </w:pPr>
            <w:r>
              <w:rPr>
                <w:rFonts w:ascii="Times New Roman" w:cs="Times New Roman" w:eastAsia="Times New Roman" w:hAnsi="Times New Roman"/>
                <w:sz w:val="14"/>
                <w:szCs w:val="14"/>
                <w:color w:val="auto"/>
              </w:rPr>
              <w:t>Incorporation or Organization)</w:t>
            </w:r>
          </w:p>
        </w:tc>
        <w:tc>
          <w:tcPr>
            <w:tcW w:w="3600" w:type="dxa"/>
            <w:vAlign w:val="bottom"/>
            <w:vMerge w:val="restart"/>
          </w:tcPr>
          <w:p>
            <w:pPr>
              <w:jc w:val="center"/>
              <w:ind w:left="1528"/>
              <w:spacing w:after="0"/>
              <w:rPr>
                <w:sz w:val="20"/>
                <w:szCs w:val="20"/>
                <w:color w:val="auto"/>
              </w:rPr>
            </w:pPr>
            <w:r>
              <w:rPr>
                <w:rFonts w:ascii="Times New Roman" w:cs="Times New Roman" w:eastAsia="Times New Roman" w:hAnsi="Times New Roman"/>
                <w:sz w:val="14"/>
                <w:szCs w:val="14"/>
                <w:b w:val="1"/>
                <w:bCs w:val="1"/>
                <w:color w:val="auto"/>
              </w:rPr>
              <w:t>85003</w:t>
            </w:r>
          </w:p>
        </w:tc>
        <w:tc>
          <w:tcPr>
            <w:tcW w:w="0" w:type="dxa"/>
            <w:vAlign w:val="bottom"/>
          </w:tcPr>
          <w:p>
            <w:pPr>
              <w:spacing w:after="0"/>
              <w:rPr>
                <w:sz w:val="1"/>
                <w:szCs w:val="1"/>
                <w:color w:val="auto"/>
              </w:rPr>
            </w:pPr>
          </w:p>
        </w:tc>
      </w:tr>
      <w:tr>
        <w:trPr>
          <w:trHeight w:val="148"/>
        </w:trPr>
        <w:tc>
          <w:tcPr>
            <w:tcW w:w="3420" w:type="dxa"/>
            <w:vAlign w:val="bottom"/>
          </w:tcPr>
          <w:p>
            <w:pPr>
              <w:jc w:val="center"/>
              <w:ind w:right="1528"/>
              <w:spacing w:after="0" w:line="149" w:lineRule="exact"/>
              <w:rPr>
                <w:sz w:val="20"/>
                <w:szCs w:val="20"/>
                <w:color w:val="auto"/>
              </w:rPr>
            </w:pPr>
            <w:r>
              <w:rPr>
                <w:rFonts w:ascii="Times New Roman" w:cs="Times New Roman" w:eastAsia="Times New Roman" w:hAnsi="Times New Roman"/>
                <w:sz w:val="14"/>
                <w:szCs w:val="14"/>
                <w:b w:val="1"/>
                <w:bCs w:val="1"/>
                <w:color w:val="auto"/>
              </w:rPr>
              <w:t>45 West Buchanan Street,</w:t>
            </w:r>
          </w:p>
        </w:tc>
        <w:tc>
          <w:tcPr>
            <w:tcW w:w="3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20" w:type="dxa"/>
            <w:vAlign w:val="bottom"/>
          </w:tcPr>
          <w:p>
            <w:pPr>
              <w:jc w:val="center"/>
              <w:ind w:right="1528"/>
              <w:spacing w:after="0"/>
              <w:rPr>
                <w:sz w:val="20"/>
                <w:szCs w:val="20"/>
                <w:color w:val="auto"/>
              </w:rPr>
            </w:pPr>
            <w:r>
              <w:rPr>
                <w:rFonts w:ascii="Times New Roman" w:cs="Times New Roman" w:eastAsia="Times New Roman" w:hAnsi="Times New Roman"/>
                <w:sz w:val="14"/>
                <w:szCs w:val="14"/>
                <w:b w:val="1"/>
                <w:bCs w:val="1"/>
                <w:color w:val="auto"/>
              </w:rPr>
              <w:t>Phoenix, Arizona</w:t>
            </w:r>
          </w:p>
        </w:tc>
        <w:tc>
          <w:tcPr>
            <w:tcW w:w="3600" w:type="dxa"/>
            <w:vAlign w:val="bottom"/>
          </w:tcPr>
          <w:p>
            <w:pPr>
              <w:jc w:val="center"/>
              <w:ind w:left="15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ind w:left="139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6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(623) 473-5749</w:t>
      </w:r>
    </w:p>
    <w:p>
      <w:pPr>
        <w:jc w:val="center"/>
        <w:ind w:right="-9"/>
        <w:spacing w:after="0" w:line="229" w:lineRule="auto"/>
        <w:rPr>
          <w:sz w:val="20"/>
          <w:szCs w:val="20"/>
          <w:color w:val="auto"/>
        </w:rPr>
      </w:pPr>
      <w:r>
        <w:rPr>
          <w:rFonts w:ascii="Times New Roman" w:cs="Times New Roman" w:eastAsia="Times New Roman" w:hAnsi="Times New Roman"/>
          <w:sz w:val="14"/>
          <w:szCs w:val="14"/>
          <w:color w:val="auto"/>
        </w:rPr>
        <w:t>(Registrant’s Telephone Number, Including Area Code)</w:t>
      </w:r>
    </w:p>
    <w:p>
      <w:pPr>
        <w:jc w:val="center"/>
        <w:ind w:right="-9"/>
        <w:spacing w:after="0" w:line="221" w:lineRule="auto"/>
        <w:rPr>
          <w:sz w:val="20"/>
          <w:szCs w:val="20"/>
          <w:color w:val="auto"/>
        </w:rPr>
      </w:pPr>
      <w:r>
        <w:rPr>
          <w:rFonts w:ascii="Times New Roman" w:cs="Times New Roman" w:eastAsia="Times New Roman" w:hAnsi="Times New Roman"/>
          <w:sz w:val="14"/>
          <w:szCs w:val="14"/>
          <w:b w:val="1"/>
          <w:bCs w:val="1"/>
          <w:color w:val="auto"/>
        </w:rPr>
        <w:t>N/A</w:t>
      </w:r>
    </w:p>
    <w:p>
      <w:pPr>
        <w:spacing w:after="0" w:line="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0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1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16"/>
                <w:szCs w:val="16"/>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0" w:type="dxa"/>
            <w:vAlign w:val="bottom"/>
          </w:tcPr>
          <w:p>
            <w:pPr>
              <w:spacing w:after="0"/>
              <w:rPr>
                <w:sz w:val="16"/>
                <w:szCs w:val="16"/>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None</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MTBLY</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82" w:lineRule="exact"/>
        <w:rPr>
          <w:sz w:val="24"/>
          <w:szCs w:val="24"/>
          <w:color w:val="auto"/>
        </w:rPr>
      </w:pPr>
    </w:p>
    <w:p>
      <w:pPr>
        <w:ind w:left="330" w:hanging="330"/>
        <w:spacing w:after="0"/>
        <w:tabs>
          <w:tab w:leader="none" w:pos="33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American depositary shares, each representing 45 Class A ordinary shares, trade over-the-counter on OTC Pink under the trading symbol “MTBLY”.</w:t>
      </w:r>
    </w:p>
    <w:p>
      <w:pPr>
        <w:spacing w:after="0" w:line="82" w:lineRule="exact"/>
        <w:rPr>
          <w:sz w:val="24"/>
          <w:szCs w:val="24"/>
          <w:color w:val="auto"/>
        </w:rPr>
      </w:pPr>
    </w:p>
    <w:p>
      <w:pPr>
        <w:ind w:left="10" w:right="2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10" w:hanging="210"/>
        <w:spacing w:after="0" w:line="161" w:lineRule="exact"/>
        <w:tabs>
          <w:tab w:leader="none" w:pos="21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ind w:left="1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left="10" w:firstLine="324"/>
        <w:spacing w:after="0" w:line="261" w:lineRule="auto"/>
        <w:rPr>
          <w:sz w:val="20"/>
          <w:szCs w:val="20"/>
          <w:color w:val="auto"/>
        </w:rPr>
      </w:pPr>
      <w:r>
        <w:rPr>
          <w:rFonts w:ascii="Times New Roman" w:cs="Times New Roman" w:eastAsia="Times New Roman" w:hAnsi="Times New Roman"/>
          <w:sz w:val="14"/>
          <w:szCs w:val="14"/>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1030" w:type="dxa"/>
        <w:tblCellMar>
          <w:top w:w="0" w:type="dxa"/>
          <w:left w:w="0" w:type="dxa"/>
          <w:bottom w:w="0" w:type="dxa"/>
          <w:right w:w="0" w:type="dxa"/>
        </w:tblCellMar>
      </w:tblPr>
      <w:tr>
        <w:trPr>
          <w:trHeight w:val="176"/>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320" w:type="dxa"/>
            <w:vAlign w:val="bottom"/>
          </w:tcPr>
          <w:p>
            <w:pPr>
              <w:jc w:val="right"/>
              <w:ind w:right="968"/>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320" w:type="dxa"/>
            <w:vAlign w:val="bottom"/>
          </w:tcPr>
          <w:p>
            <w:pPr>
              <w:jc w:val="right"/>
              <w:ind w:right="968"/>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740" w:type="dxa"/>
            <w:vAlign w:val="bottom"/>
            <w:gridSpan w:val="2"/>
          </w:tcPr>
          <w:p>
            <w:pPr>
              <w:jc w:val="right"/>
              <w:ind w:right="968"/>
              <w:spacing w:after="0" w:line="161" w:lineRule="exact"/>
              <w:rPr>
                <w:sz w:val="20"/>
                <w:szCs w:val="20"/>
                <w:color w:val="auto"/>
              </w:rPr>
            </w:pPr>
            <w:r>
              <w:rPr>
                <w:rFonts w:ascii="Times New Roman" w:cs="Times New Roman" w:eastAsia="Times New Roman" w:hAnsi="Times New Roman"/>
                <w:sz w:val="14"/>
                <w:szCs w:val="14"/>
                <w:color w:val="auto"/>
              </w:rPr>
              <w:t>Emerging growth company</w:t>
            </w:r>
            <w:r>
              <w:rPr>
                <w:rFonts w:ascii="MS PGothic" w:cs="MS PGothic" w:eastAsia="MS PGothic" w:hAnsi="MS PGothic"/>
                <w:sz w:val="14"/>
                <w:szCs w:val="14"/>
                <w:color w:val="auto"/>
              </w:rPr>
              <w:t>☐</w:t>
            </w:r>
          </w:p>
        </w:tc>
        <w:tc>
          <w:tcPr>
            <w:tcW w:w="292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46" w:lineRule="exact"/>
        <w:rPr>
          <w:sz w:val="24"/>
          <w:szCs w:val="24"/>
          <w:color w:val="auto"/>
        </w:rPr>
      </w:pPr>
    </w:p>
    <w:p>
      <w:pPr>
        <w:ind w:left="1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33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left="330"/>
        <w:spacing w:after="0"/>
        <w:rPr>
          <w:sz w:val="20"/>
          <w:szCs w:val="20"/>
          <w:color w:val="auto"/>
        </w:rPr>
      </w:pPr>
      <w:r>
        <w:rPr>
          <w:rFonts w:ascii="Times New Roman" w:cs="Times New Roman" w:eastAsia="Times New Roman" w:hAnsi="Times New Roman"/>
          <w:sz w:val="14"/>
          <w:szCs w:val="14"/>
          <w:color w:val="auto"/>
        </w:rPr>
        <w:t>As of November 6, 2025, the registrant had 568,592,953 Class A ordinary shares and 170,258,970 Class B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503555</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118110</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5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17"/>
                <w:szCs w:val="17"/>
                <w:color w:val="auto"/>
              </w:rPr>
            </w:pPr>
          </w:p>
        </w:tc>
      </w:tr>
      <w:tr>
        <w:trPr>
          <w:trHeight w:val="412"/>
        </w:trPr>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Note About Forward-Looking Statements</w:t>
            </w:r>
          </w:p>
        </w:tc>
        <w:tc>
          <w:tcPr>
            <w:tcW w:w="1920" w:type="dxa"/>
            <w:vAlign w:val="bottom"/>
            <w:tcBorders>
              <w:top w:val="single" w:sz="8" w:color="auto"/>
            </w:tcBorders>
            <w:gridSpan w:val="4"/>
          </w:tcPr>
          <w:p>
            <w:pPr>
              <w:spacing w:after="0"/>
              <w:rPr>
                <w:sz w:val="24"/>
                <w:szCs w:val="24"/>
                <w:color w:val="auto"/>
              </w:rPr>
            </w:pPr>
          </w:p>
        </w:tc>
        <w:tc>
          <w:tcPr>
            <w:tcW w:w="358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29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20" w:type="dxa"/>
            <w:vAlign w:val="bottom"/>
            <w:tcBorders>
              <w:top w:val="single" w:sz="8" w:color="0000EE"/>
            </w:tcBorders>
          </w:tcPr>
          <w:p>
            <w:pPr>
              <w:spacing w:after="0"/>
              <w:rPr>
                <w:sz w:val="17"/>
                <w:szCs w:val="17"/>
                <w:color w:val="auto"/>
              </w:rPr>
            </w:pPr>
          </w:p>
        </w:tc>
        <w:tc>
          <w:tcPr>
            <w:tcW w:w="64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 December 31, 2024 and September 30, 2025</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(Loss) – For The Three and Nine</w:t>
            </w:r>
          </w:p>
        </w:tc>
        <w:tc>
          <w:tcPr>
            <w:tcW w:w="4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Ended September 30, 2024 and 2025</w:t>
            </w:r>
          </w:p>
        </w:tc>
        <w:tc>
          <w:tcPr>
            <w:tcW w:w="5260" w:type="dxa"/>
            <w:vAlign w:val="bottom"/>
            <w:tcBorders>
              <w:top w:val="single" w:sz="8" w:color="0000EE"/>
            </w:tcBorders>
            <w:gridSpan w:val="8"/>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Equity – For The Three and Nine Months Ended September 30,</w:t>
            </w:r>
          </w:p>
        </w:tc>
        <w:tc>
          <w:tcPr>
            <w:tcW w:w="4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2024 and 2025</w:t>
            </w:r>
          </w:p>
        </w:tc>
        <w:tc>
          <w:tcPr>
            <w:tcW w:w="7220" w:type="dxa"/>
            <w:vAlign w:val="bottom"/>
            <w:tcBorders>
              <w:top w:val="single" w:sz="8" w:color="0000EE"/>
            </w:tcBorders>
            <w:gridSpan w:val="16"/>
          </w:tcPr>
          <w:p>
            <w:pPr>
              <w:spacing w:after="0"/>
              <w:rPr>
                <w:sz w:val="17"/>
                <w:szCs w:val="17"/>
                <w:color w:val="auto"/>
              </w:rPr>
            </w:pPr>
          </w:p>
        </w:tc>
        <w:tc>
          <w:tcPr>
            <w:tcW w:w="4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 For The Nine Months Ended September 30, 2024 and 2025</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160" w:type="dxa"/>
            <w:vAlign w:val="bottom"/>
            <w:tcBorders>
              <w:top w:val="single" w:sz="8" w:color="0000EE"/>
            </w:tcBorders>
            <w:gridSpan w:val="5"/>
          </w:tcPr>
          <w:p>
            <w:pPr>
              <w:spacing w:after="0"/>
              <w:rPr>
                <w:sz w:val="17"/>
                <w:szCs w:val="17"/>
                <w:color w:val="auto"/>
              </w:rPr>
            </w:pPr>
          </w:p>
        </w:tc>
        <w:tc>
          <w:tcPr>
            <w:tcW w:w="5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400" w:type="dxa"/>
            <w:vAlign w:val="bottom"/>
            <w:tcBorders>
              <w:left w:val="single" w:sz="8" w:color="0000EE"/>
            </w:tcBorders>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26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80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96"/>
        </w:trPr>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00" w:type="dxa"/>
            <w:vAlign w:val="bottom"/>
          </w:tcPr>
          <w:p>
            <w:pPr>
              <w:spacing w:after="0"/>
              <w:rPr>
                <w:sz w:val="17"/>
                <w:szCs w:val="17"/>
                <w:color w:val="auto"/>
              </w:rPr>
            </w:pP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17"/>
                <w:szCs w:val="17"/>
                <w:color w:val="auto"/>
              </w:rPr>
            </w:pP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98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20" w:type="dxa"/>
            <w:vAlign w:val="bottom"/>
            <w:gridSpan w:val="1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87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140" w:type="dxa"/>
            <w:vAlign w:val="bottom"/>
            <w:gridSpan w:val="2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SIGNATURES</w:t>
            </w:r>
          </w:p>
        </w:tc>
        <w:tc>
          <w:tcPr>
            <w:tcW w:w="832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Forward-looking statements generally relate to future events, financial or operating performance. Forward-looking statements often include words such as “may,” “should,” “expects,” “plans,” “anticipates,” “could,” “intends,” “targets,” “projects,” “contemplates,” “believes,” “estimates,” “predicts,” “potential” or “continue” or the negative of these words or other similar terms or expressions that concern our expectations, strategy, plans, risks, or intentions. Forward-looking statements include, among other things, statements regarding:</w:t>
      </w:r>
    </w:p>
    <w:p>
      <w:pPr>
        <w:spacing w:after="0" w:line="187" w:lineRule="exact"/>
        <w:rPr>
          <w:sz w:val="20"/>
          <w:szCs w:val="20"/>
          <w:color w:val="auto"/>
        </w:rPr>
      </w:pPr>
    </w:p>
    <w:p>
      <w:pPr>
        <w:ind w:left="680" w:right="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performance including statements about our revenue, cost of sales, gross margins, operating expenses, and business strategies;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predictions regarding the size and growth potential of the markets for our products or our ability to serve those markets;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retain our customer base, grow the average subscription revenue per customer, or sell additional products and services to the customer base;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expand our sales organization or research and development activities to address existing markets and serve new markets;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address the technological or service needs of our customers, to release upgrades to our existing software platforms, and to develop new and enhanced applications to meet the needs of our customers;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macro-economic events that may impact the ability to operate within certain markets or disrupt the flow of products and services such as pandemics, wars, and deterioration of relations between sovereign entities;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regulatory, judicial, and legislative changes or developments in the U.S. and foreign countries, particularly those in which we operate and sell products, including China;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business relationships and operating risks that impact our ability to compete within the industries we serve;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investments, including in sales and marketing, research and development, customer service and support, data center infrastructure, and our expectations relating to such investments;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hire, and retain talent including sales, software development, or management personnel to expand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our estimates regarding expenses, future revenues, gross margins, and needs for additional financing;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funding for our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and grow acquired businesses and achieve anticipated results from strategic partnerships;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impact of litigation to which we are or may become a party;</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lead generation, branding, and other demand generation strategies to reach our customers and sustain growth;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 to voluntarily suspend our reporting obligations under the Securities Exchange Act of 1934, as amended, soon after the filing of this Quarterly Report on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may appear throughout this report and other documents we file with the Securities and Exchange Commission (“SEC”), including without limitation, the following sections: Part I, Item 2, “Management’s Discussion and Analysis of Financial Condition and Results of Operations” in this Quarterly Report on Form 10-Q and Part I, Item 1A, “Risk Factors” in our Annual Report on Form 10-K for the fiscal year ended December 31, 2024. These forward-looking statements are based on current expectations and assumptions that are subject to risks and uncertainties, which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in Part I, Item 1A, “Risk Factors” in our Annual Report on Form 10-K for the fiscal year ended December 31, 2024, and those discussed in other documents we file with the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used herein, (i) “Moatable,” “the company,” “we,” “us,” “our,” and similar terms include Moatable, Inc. and its subsidiaries and, in the context of describing our consolidated financial information, also include the VIE and its subsidiaries, unless the context indicates otherwise; (ii) “ADSs” refers to American depositary shares, each of which represents 45 of our Class A ordinary shares, par value $0.001 per share; (iii) “Lofty” refers to Lofty Inc., our majority-owned subsidiary incorporated in the State of Delaware and formerly known as Chime Technologies, Inc.; (iv) “PRC” and “China” refers to the People’s Republic of China, excluding, for purposes of this Quarterly Report on Form 10-Q only, Hong Kong, Macau, and Taiwan; (v) “Qianxiang Shiji” refers to Qianxiang Shiji Technology Development (Beijing) Co., Ltd., our wholly owned subsidiary incorporated in China; (vi) “Qianxiang Tiancheng” and “VIE” refer to Beijing Qianxiang Tiancheng Technology Development Co., Ltd., a company incorporated in China; (vii) “Shares” and “ordinary shares” refer to our Class A ordinary shares and Class B ordinary shares, par value $0.001 per share; (viii) “Trucker Path” refers to Trucker Path, Inc., our majority-owned subsidiary incorporated in the State of Delaware; and (ix) all dollar amounts refer to United States (U.S.) dollars unless otherwise indicated.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“Moatable,” “Lofty,” “Trucker Path,” and other trademarks of ours appearing in this report are our property. We do not intend our use or display of other companies’ trade names or trademarks to imply an endorsement or sponsorship of us by such companies, or any relationship with any of these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and shares)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right"/>
              <w:ind w:right="21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jc w:val="right"/>
              <w:ind w:right="231"/>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26,642</w:t>
            </w:r>
          </w:p>
        </w:tc>
        <w:tc>
          <w:tcPr>
            <w:tcW w:w="480" w:type="dxa"/>
            <w:vAlign w:val="bottom"/>
            <w:gridSpan w:val="4"/>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due from related party</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43,942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investments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25,526</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69,468</w:t>
            </w: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480" w:type="dxa"/>
            <w:vAlign w:val="bottom"/>
            <w:gridSpan w:val="4"/>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payable</w:t>
            </w:r>
          </w:p>
        </w:tc>
        <w:tc>
          <w:tcPr>
            <w:tcW w:w="1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24,707</w:t>
            </w:r>
          </w:p>
        </w:tc>
        <w:tc>
          <w:tcPr>
            <w:tcW w:w="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and shares)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$0.001 par value, 3,000,000,000 shares authorized; 710,414,011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and 632,894,266 shares outstanding as of December 31, 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726,595,513 shares issued and 653,561,413 shares outstanding as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$0.001 par value, 500,000,000 shares authorized; 170,258,970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as of December 31, 2024 and September, 2025; each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ordinary share is convertible into one Class A ordinary share</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784,598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(720,810)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Statutory reserves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Moatable, Inc. shareholders’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59,253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(14,492)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44,761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69,468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and shares)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0" w:type="dxa"/>
            <w:vAlign w:val="bottom"/>
          </w:tcPr>
          <w:p>
            <w:pPr>
              <w:spacing w:after="0"/>
              <w:rPr>
                <w:sz w:val="15"/>
                <w:szCs w:val="15"/>
                <w:color w:val="auto"/>
              </w:rPr>
            </w:pPr>
          </w:p>
        </w:tc>
        <w:tc>
          <w:tcPr>
            <w:tcW w:w="27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SaaS revenue</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16,641</w:t>
            </w:r>
          </w:p>
        </w:tc>
        <w:tc>
          <w:tcPr>
            <w:tcW w:w="18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20,388</w:t>
            </w:r>
          </w:p>
        </w:tc>
        <w:tc>
          <w:tcPr>
            <w:tcW w:w="80" w:type="dxa"/>
            <w:vAlign w:val="bottom"/>
          </w:tcPr>
          <w:p>
            <w:pPr>
              <w:spacing w:after="0"/>
              <w:rPr>
                <w:sz w:val="17"/>
                <w:szCs w:val="17"/>
                <w:color w:val="auto"/>
              </w:rPr>
            </w:pPr>
          </w:p>
        </w:tc>
        <w:tc>
          <w:tcPr>
            <w:tcW w:w="3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45,872</w:t>
            </w:r>
          </w:p>
        </w:tc>
        <w:tc>
          <w:tcPr>
            <w:tcW w:w="18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services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16,686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45,998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57,701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SaaS business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services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cost of revenues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4,053</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5,282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10,869</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12,633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35,129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Selling and marketing</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2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13,204</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16,595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37,920</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44,830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(571)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(2,791)</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(Loss) from fair value change of a long-term investment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(1,474)</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Interest income, net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Income (Loss) before provision of income tax and income</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(loss) in equity method investments and non-controlling</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interest, net of tax</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(2,688)</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benefits (expenses)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Income (Loss) before loss in equity method investments and</w:t>
            </w: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non-controlling interest, net of tax</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(2,320)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Impairment on and income (loss) in equity method investments,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1,169</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(2,453)</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Moatable, Inc.</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Moatable, Inc.</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(0.002)</w:t>
            </w:r>
          </w:p>
        </w:tc>
        <w:tc>
          <w:tcPr>
            <w:tcW w:w="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(0.003)</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(0.003)</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shares used in calculating net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loss per share attributable to Moatable, Inc. shareholders: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811,518,063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823,855,963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780,018,704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814,467,454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811,518,330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823,855,963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780,018,704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814,467,454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2460" w:right="1380" w:hanging="420"/>
        <w:spacing w:after="0" w:line="260" w:lineRule="auto"/>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2025 (In thousands, except per share amounts and shares)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7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0" w:type="dxa"/>
            <w:vAlign w:val="bottom"/>
          </w:tcPr>
          <w:p>
            <w:pPr>
              <w:spacing w:after="0"/>
              <w:rPr>
                <w:sz w:val="15"/>
                <w:szCs w:val="15"/>
                <w:color w:val="auto"/>
              </w:rPr>
            </w:pPr>
          </w:p>
        </w:tc>
        <w:tc>
          <w:tcPr>
            <w:tcW w:w="26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1,169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net of nil income taxes</w:t>
            </w: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7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1,187</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total comprehensive income (loss) attributable to</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 Moatable,</w:t>
            </w: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1,181</w:t>
            </w:r>
          </w:p>
        </w:tc>
        <w:tc>
          <w:tcPr>
            <w:tcW w:w="18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(1,390)</w:t>
            </w:r>
          </w:p>
        </w:tc>
        <w:tc>
          <w:tcPr>
            <w:tcW w:w="36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(2,552)</w:t>
            </w:r>
          </w:p>
        </w:tc>
        <w:tc>
          <w:tcPr>
            <w:tcW w:w="28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w:t>
            </w:r>
          </w:p>
        </w:tc>
        <w:tc>
          <w:tcPr>
            <w:tcW w:w="7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shares)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Non-</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60" w:type="dxa"/>
            <w:vAlign w:val="bottom"/>
            <w:gridSpan w:val="5"/>
          </w:tcPr>
          <w:p>
            <w:pPr>
              <w:ind w:left="60"/>
              <w:spacing w:after="0"/>
              <w:rPr>
                <w:sz w:val="20"/>
                <w:szCs w:val="20"/>
                <w:color w:val="auto"/>
              </w:rPr>
            </w:pPr>
            <w:r>
              <w:rPr>
                <w:rFonts w:ascii="Times New Roman" w:cs="Times New Roman" w:eastAsia="Times New Roman" w:hAnsi="Times New Roman"/>
                <w:sz w:val="10"/>
                <w:szCs w:val="10"/>
                <w:b w:val="1"/>
                <w:bCs w:val="1"/>
                <w:color w:val="auto"/>
              </w:rPr>
              <w:t>Class A Ordinary shares</w:t>
            </w:r>
          </w:p>
        </w:tc>
        <w:tc>
          <w:tcPr>
            <w:tcW w:w="1260" w:type="dxa"/>
            <w:vAlign w:val="bottom"/>
            <w:gridSpan w:val="5"/>
          </w:tcPr>
          <w:p>
            <w:pPr>
              <w:ind w:left="60"/>
              <w:spacing w:after="0"/>
              <w:rPr>
                <w:sz w:val="20"/>
                <w:szCs w:val="20"/>
                <w:color w:val="auto"/>
              </w:rPr>
            </w:pPr>
            <w:r>
              <w:rPr>
                <w:rFonts w:ascii="Times New Roman" w:cs="Times New Roman" w:eastAsia="Times New Roman" w:hAnsi="Times New Roman"/>
                <w:sz w:val="10"/>
                <w:szCs w:val="10"/>
                <w:b w:val="1"/>
                <w:bCs w:val="1"/>
                <w:color w:val="auto"/>
              </w:rPr>
              <w:t>Class B Ordinary shares</w:t>
            </w:r>
          </w:p>
        </w:tc>
        <w:tc>
          <w:tcPr>
            <w:tcW w:w="1120" w:type="dxa"/>
            <w:vAlign w:val="bottom"/>
            <w:gridSpan w:val="5"/>
          </w:tcPr>
          <w:p>
            <w:pPr>
              <w:ind w:left="20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8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560" w:type="dxa"/>
            <w:vAlign w:val="bottom"/>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Statutory</w:t>
            </w:r>
          </w:p>
        </w:tc>
        <w:tc>
          <w:tcPr>
            <w:tcW w:w="7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6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3"/>
              </w:rPr>
              <w:t>Moatable</w:t>
            </w:r>
          </w:p>
        </w:tc>
        <w:tc>
          <w:tcPr>
            <w:tcW w:w="60" w:type="dxa"/>
            <w:vAlign w:val="bottom"/>
          </w:tcPr>
          <w:p>
            <w:pPr>
              <w:spacing w:after="0"/>
              <w:rPr>
                <w:sz w:val="11"/>
                <w:szCs w:val="11"/>
                <w:color w:val="auto"/>
              </w:rPr>
            </w:pPr>
          </w:p>
        </w:tc>
        <w:tc>
          <w:tcPr>
            <w:tcW w:w="58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60" w:type="dxa"/>
            <w:vAlign w:val="bottom"/>
          </w:tcPr>
          <w:p>
            <w:pPr>
              <w:spacing w:after="0"/>
              <w:rPr>
                <w:sz w:val="11"/>
                <w:szCs w:val="11"/>
                <w:color w:val="auto"/>
              </w:rPr>
            </w:pPr>
          </w:p>
        </w:tc>
        <w:tc>
          <w:tcPr>
            <w:tcW w:w="380" w:type="dxa"/>
            <w:vAlign w:val="bottom"/>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10"/>
                <w:szCs w:val="10"/>
                <w:color w:val="auto"/>
              </w:rPr>
            </w:pPr>
          </w:p>
        </w:tc>
        <w:tc>
          <w:tcPr>
            <w:tcW w:w="5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100" w:type="dxa"/>
            <w:vAlign w:val="bottom"/>
          </w:tcPr>
          <w:p>
            <w:pPr>
              <w:spacing w:after="0"/>
              <w:rPr>
                <w:sz w:val="10"/>
                <w:szCs w:val="10"/>
                <w:color w:val="auto"/>
              </w:rPr>
            </w:pPr>
          </w:p>
        </w:tc>
        <w:tc>
          <w:tcPr>
            <w:tcW w:w="60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100" w:type="dxa"/>
            <w:vAlign w:val="bottom"/>
          </w:tcPr>
          <w:p>
            <w:pPr>
              <w:spacing w:after="0"/>
              <w:rPr>
                <w:sz w:val="10"/>
                <w:szCs w:val="10"/>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paid-in capital</w:t>
            </w:r>
          </w:p>
        </w:tc>
        <w:tc>
          <w:tcPr>
            <w:tcW w:w="100" w:type="dxa"/>
            <w:vAlign w:val="bottom"/>
          </w:tcPr>
          <w:p>
            <w:pPr>
              <w:spacing w:after="0"/>
              <w:rPr>
                <w:sz w:val="10"/>
                <w:szCs w:val="1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10"/>
                <w:szCs w:val="10"/>
                <w:color w:val="auto"/>
              </w:rPr>
            </w:pP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reserves</w:t>
            </w:r>
          </w:p>
        </w:tc>
        <w:tc>
          <w:tcPr>
            <w:tcW w:w="4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(loss) income</w:t>
            </w:r>
          </w:p>
        </w:tc>
        <w:tc>
          <w:tcPr>
            <w:tcW w:w="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Inc.’s Equity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2"/>
              </w:rPr>
              <w:t>interest</w:t>
            </w:r>
          </w:p>
        </w:tc>
        <w:tc>
          <w:tcPr>
            <w:tcW w:w="60" w:type="dxa"/>
            <w:vAlign w:val="bottom"/>
          </w:tcPr>
          <w:p>
            <w:pPr>
              <w:spacing w:after="0"/>
              <w:rPr>
                <w:sz w:val="10"/>
                <w:szCs w:val="10"/>
                <w:color w:val="auto"/>
              </w:rPr>
            </w:pPr>
          </w:p>
        </w:tc>
        <w:tc>
          <w:tcPr>
            <w:tcW w:w="38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97"/>
              </w:rPr>
              <w:t>equity</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9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607,424,941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608</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170,258,970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(57,192,165)</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 (2,002)</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782,365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(718,673)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6,712</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(8,778)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60,402</w:t>
            </w:r>
          </w:p>
        </w:tc>
        <w:tc>
          <w:tcPr>
            <w:tcW w:w="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(14,689)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45,713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Repurchase of Class A ordinary shares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(7,991,370)</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(155)</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(47)</w:t>
            </w:r>
          </w:p>
        </w:tc>
        <w:tc>
          <w:tcPr>
            <w:tcW w:w="6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(3,103)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(3,103)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(27)</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share option and restricted 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vesting</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96,104,340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703,529,281</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704</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170,258,970</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(65,183,535)</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 (2,157)</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783,864</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(721,776)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6,712</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(8,825)</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58,692</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(14,600)</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44,092</w:t>
            </w:r>
          </w:p>
        </w:tc>
        <w:tc>
          <w:tcPr>
            <w:tcW w:w="0" w:type="dxa"/>
            <w:vAlign w:val="bottom"/>
          </w:tcPr>
          <w:p>
            <w:pPr>
              <w:spacing w:after="0"/>
              <w:rPr>
                <w:sz w:val="1"/>
                <w:szCs w:val="1"/>
                <w:color w:val="auto"/>
              </w:rPr>
            </w:pPr>
          </w:p>
        </w:tc>
      </w:tr>
      <w:tr>
        <w:trPr>
          <w:trHeight w:val="115"/>
        </w:trPr>
        <w:tc>
          <w:tcPr>
            <w:tcW w:w="19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Repurchase of Class A ordinary shares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(2,404,485)</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(111)</w:t>
            </w:r>
          </w:p>
        </w:tc>
        <w:tc>
          <w:tcPr>
            <w:tcW w:w="6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(472)</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(472)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(20)</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share option and restricted 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vesting</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5,207,580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June 30, 2024</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708,736,861</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709</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170,258,970</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(67,588,020)</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 (2,189)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784,406</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(722,248)</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6,712</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(8,936)</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58,624</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(14,392)</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44,232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Stock-based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Change of shares withheld for payroll taxes</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on restricted shares into treasury stock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(7,800,120)</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(674)</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(674)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share option and restricted 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vesting</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512,235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2024</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709,249,096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710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170,258,970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(75,388,140)</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 (2,863)</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784,570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(721,084)</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6,712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(8,919)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59,296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(14,276)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45,020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710,414,011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711</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170,258,970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(77,519,745)</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 (2,929)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784,598</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(720,810)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6,712</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(9,199)</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59,253</w:t>
            </w:r>
          </w:p>
        </w:tc>
        <w:tc>
          <w:tcPr>
            <w:tcW w:w="6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(14,492)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44,761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Repurchase of Class A ordinary shares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(1,517,400)</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(57)</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Change of shares withheld for payroll taxes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on restricted shares into treasury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(9,675)</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Cash dividend payments ($0.01346 per</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ordinary share)</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(11,106)</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(11,106)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(11,106)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(818)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(818)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(276)</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share option and restricted 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vesting**</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256,545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March 31, 2025</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710,670,556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711</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170,258,970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(79,046,820)</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 (2,986)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773,520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(721,628)</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6,712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(9,036)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47,463</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(14,667)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32,796</w:t>
            </w:r>
          </w:p>
        </w:tc>
        <w:tc>
          <w:tcPr>
            <w:tcW w:w="0" w:type="dxa"/>
            <w:vAlign w:val="bottom"/>
          </w:tcPr>
          <w:p>
            <w:pPr>
              <w:spacing w:after="0"/>
              <w:rPr>
                <w:sz w:val="1"/>
                <w:szCs w:val="1"/>
                <w:color w:val="auto"/>
              </w:rPr>
            </w:pPr>
          </w:p>
        </w:tc>
      </w:tr>
      <w:tr>
        <w:trPr>
          <w:trHeight w:val="20"/>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940" w:type="dxa"/>
            <w:vAlign w:val="bottom"/>
            <w:gridSpan w:val="2"/>
            <w:vMerge w:val="continue"/>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30</w:t>
            </w: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30</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215</w:t>
            </w: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245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Repurchase of Class A ordinary shares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(1,235,655)</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(29)</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(29)</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Change of shares withheld for payroll taxes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on restricted shares into treasury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(9,450)</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Net income (loss)</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(72)</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True-up adjustment of Class A ordinary</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shares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15,418,167</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share option and restricted 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vesting**</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251,370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June 30, 2025</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726,340,093</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170,258,970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(80,291,925)</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 (3,015)</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773,535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(721,121)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6,712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(8,711)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48,296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(14,524)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33,772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5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28</w:t>
            </w: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28</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137</w:t>
            </w: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0"/>
                <w:szCs w:val="10"/>
                <w:color w:val="auto"/>
              </w:rPr>
              <w:t>165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Repurchase of Class A ordinary shares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(547,200)</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Change of shares withheld for payroll taxes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on restricted shares into treasury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(10,980)</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True-up adjustment of Treasury stock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7,816,005</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(674)</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(99)</w:t>
            </w:r>
          </w:p>
        </w:tc>
        <w:tc>
          <w:tcPr>
            <w:tcW w:w="6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(1,291)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(1,291)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(239)</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share option and restricted 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vesting**</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255,420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September 30, 2025</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726,595,513</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170,258,970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(73,034,100)</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 (2,359)</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772,889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(722,412)</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6,712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(8,810)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46,916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(14,626)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1568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Treasury stock is less than one thousand dollars.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Class A Ordinary shares is less than one thousand dollars.</w:t>
      </w:r>
    </w:p>
    <w:p>
      <w:pPr>
        <w:spacing w:after="0" w:line="20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 FOR THE NINE MONTHS ENDED SEPTEMBER 30, 2024 and 2025 (In thousands)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6"/>
          </w:tcPr>
          <w:p>
            <w:pPr>
              <w:ind w:left="34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6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2"/>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49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160" w:type="dxa"/>
            <w:vAlign w:val="bottom"/>
            <w:gridSpan w:val="2"/>
          </w:tcPr>
          <w:p>
            <w:pPr>
              <w:jc w:val="right"/>
              <w:ind w:right="742"/>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(2,453)</w:t>
            </w:r>
          </w:p>
        </w:tc>
        <w:tc>
          <w:tcPr>
            <w:tcW w:w="300" w:type="dxa"/>
            <w:vAlign w:val="bottom"/>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Adjustments to reconcile net loss to net cash used in operating activities: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1,599</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Impairment on and loss (income) in equity method investments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Amortization of the right-of-use assets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341</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Release of tax liabilities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(726)</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Reversal of aged other payables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(1,711)</w:t>
            </w: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Impairment on intangible asset</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Fair value change on long-term investment</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1,474</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for credit losses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1,053</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(1,130)</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2,722</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Operating lease liabilities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(388)</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Income tax payable</w:t>
            </w:r>
          </w:p>
        </w:tc>
        <w:tc>
          <w:tcPr>
            <w:tcW w:w="3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346</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1,704</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Payment for acquisition of a subsidiary, net of cash acquired</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(2,658)</w:t>
            </w: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Redemption of short-term investments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Purchases of intangible assets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(140)</w:t>
            </w: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received from equity method investment</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3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(2,975)</w:t>
            </w:r>
          </w:p>
        </w:tc>
        <w:tc>
          <w:tcPr>
            <w:tcW w:w="2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Proceeds from exercise of share options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1,046</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debt</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 buyback</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Special cash dividends to ordinary shares (including ADSs)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30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859</w:t>
            </w:r>
          </w:p>
        </w:tc>
        <w:tc>
          <w:tcPr>
            <w:tcW w:w="24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decrease in cash and cash equivalents and restricted cash</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(412)</w:t>
            </w: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and restricted cash at the beginning of the period</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38,969</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31,922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Effect of exchange rate changes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(179)</w:t>
            </w: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the end of the period</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38,378</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31,994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reported within the condensed consolidated balance sheets</w:t>
            </w: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160" w:type="dxa"/>
            <w:vAlign w:val="bottom"/>
            <w:gridSpan w:val="2"/>
            <w:shd w:val="clear" w:color="auto" w:fill="CCEEFF"/>
          </w:tcPr>
          <w:p>
            <w:pPr>
              <w:jc w:val="right"/>
              <w:ind w:right="742"/>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33,150</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22,049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3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5,228</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9,945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the end of the period</w:t>
            </w:r>
          </w:p>
        </w:tc>
        <w:tc>
          <w:tcPr>
            <w:tcW w:w="3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38,378</w:t>
            </w:r>
          </w:p>
        </w:tc>
        <w:tc>
          <w:tcPr>
            <w:tcW w:w="2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31,994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6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schedule of cash flows information:</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paid</w:t>
            </w:r>
          </w:p>
        </w:tc>
        <w:tc>
          <w:tcPr>
            <w:tcW w:w="1160" w:type="dxa"/>
            <w:vAlign w:val="bottom"/>
            <w:gridSpan w:val="2"/>
          </w:tcPr>
          <w:p>
            <w:pPr>
              <w:jc w:val="right"/>
              <w:ind w:right="742"/>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Income taxes paid</w:t>
            </w:r>
          </w:p>
        </w:tc>
        <w:tc>
          <w:tcPr>
            <w:tcW w:w="1160" w:type="dxa"/>
            <w:vAlign w:val="bottom"/>
            <w:gridSpan w:val="2"/>
            <w:shd w:val="clear" w:color="auto" w:fill="CCEEFF"/>
          </w:tcPr>
          <w:p>
            <w:pPr>
              <w:jc w:val="right"/>
              <w:ind w:right="742"/>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Schedule of non-cash activities:</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Obtaining right-of-use assets in exchange for operating lease liabilities</w:t>
            </w:r>
          </w:p>
        </w:tc>
        <w:tc>
          <w:tcPr>
            <w:tcW w:w="1160" w:type="dxa"/>
            <w:vAlign w:val="bottom"/>
            <w:gridSpan w:val="2"/>
          </w:tcPr>
          <w:p>
            <w:pPr>
              <w:jc w:val="right"/>
              <w:ind w:right="742"/>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1,228</w:t>
            </w:r>
          </w:p>
        </w:tc>
        <w:tc>
          <w:tcPr>
            <w:tcW w:w="240" w:type="dxa"/>
            <w:vAlign w:val="bottom"/>
          </w:tcPr>
          <w:p>
            <w:pPr>
              <w:spacing w:after="0"/>
              <w:rPr>
                <w:sz w:val="11"/>
                <w:szCs w:val="11"/>
                <w:color w:val="auto"/>
              </w:rPr>
            </w:pPr>
          </w:p>
        </w:tc>
        <w:tc>
          <w:tcPr>
            <w:tcW w:w="300" w:type="dxa"/>
            <w:vAlign w:val="bottom"/>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Estimated present value of contingent consideration of Truckers Best Insurance LLC (“TBI”)</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Payable related to acquisition of The Letting Partnership Ltd (“TLP”)</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830</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Change of shares withheld for payroll taxes on restricted shares into treasury stock*</w:t>
            </w: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674</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the amount of Treasury stock is less than one thousand dollars.</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Moatable, Inc. was incorporated in the Cayman Islands. Moatable, Inc., which includes its consolidated subsidiaries, variable interest entity (“VIE”) and VIE’s subsidiaries (collectively referred to as the “Company”), operate two SaaS businesses, Lofty and Trucker Path. Lofty offers an all-in-one real estate sales acceleration and client lifecycle management platform that allows real estate professionals to obtain and nurture leads, close transactions, and retain their clients. Trucker Path provides trip planning, navigation, freight sourcing, and a marketplace that offers truckers goods and services to operate their businesses. The Company’s SaaS businesses currently generates the majority of their revenue from the U.S. market, which comprises the majority of the Company’s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Moatable, Inc.’s major subsidiaries, VIE and VIE’s subsidiaries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Later of date</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Place of</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legal ownership</w:t>
            </w:r>
          </w:p>
        </w:tc>
        <w:tc>
          <w:tcPr>
            <w:tcW w:w="200" w:type="dxa"/>
            <w:vAlign w:val="bottom"/>
          </w:tcPr>
          <w:p>
            <w:pPr>
              <w:spacing w:after="0"/>
              <w:rPr>
                <w:sz w:val="11"/>
                <w:szCs w:val="11"/>
                <w:color w:val="auto"/>
              </w:rPr>
            </w:pPr>
          </w:p>
        </w:tc>
        <w:tc>
          <w:tcPr>
            <w:tcW w:w="1860" w:type="dxa"/>
            <w:vAlign w:val="bottom"/>
          </w:tcPr>
          <w:p>
            <w:pPr>
              <w:ind w:left="680"/>
              <w:spacing w:after="0" w:line="135"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0" w:type="dxa"/>
            <w:vAlign w:val="bottom"/>
          </w:tcPr>
          <w:p>
            <w:pPr>
              <w:spacing w:after="0"/>
              <w:rPr>
                <w:sz w:val="1"/>
                <w:szCs w:val="1"/>
                <w:color w:val="auto"/>
              </w:rPr>
            </w:pPr>
          </w:p>
        </w:tc>
      </w:tr>
      <w:tr>
        <w:trPr>
          <w:trHeight w:val="155"/>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 of Subsidiaries</w:t>
            </w: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or acquisition</w:t>
            </w: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incorporation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by Moatable, Inc.</w:t>
            </w:r>
          </w:p>
        </w:tc>
        <w:tc>
          <w:tcPr>
            <w:tcW w:w="200" w:type="dxa"/>
            <w:vAlign w:val="bottom"/>
          </w:tcPr>
          <w:p>
            <w:pPr>
              <w:spacing w:after="0"/>
              <w:rPr>
                <w:sz w:val="13"/>
                <w:szCs w:val="13"/>
                <w:color w:val="auto"/>
              </w:rPr>
            </w:pPr>
          </w:p>
        </w:tc>
        <w:tc>
          <w:tcPr>
            <w:tcW w:w="186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activities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Subsidiaries:</w:t>
            </w: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Lofty, Inc.(“Lofty”)</w:t>
            </w:r>
          </w:p>
        </w:tc>
        <w:tc>
          <w:tcPr>
            <w:tcW w:w="1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September 7, 2012</w:t>
            </w:r>
          </w:p>
        </w:tc>
        <w:tc>
          <w:tcPr>
            <w:tcW w:w="16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Delaware, USA</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SaaS business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Trucker Path, Inc. (“Trucker Path”)</w:t>
            </w:r>
          </w:p>
        </w:tc>
        <w:tc>
          <w:tcPr>
            <w:tcW w:w="1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December 28, 2017</w:t>
            </w:r>
          </w:p>
        </w:tc>
        <w:tc>
          <w:tcPr>
            <w:tcW w:w="162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Delaware, USA</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SaaS business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Renren Giantly Philippines Inc.</w:t>
            </w:r>
          </w:p>
        </w:tc>
        <w:tc>
          <w:tcPr>
            <w:tcW w:w="1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March, 2018</w:t>
            </w:r>
          </w:p>
        </w:tc>
        <w:tc>
          <w:tcPr>
            <w:tcW w:w="16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Philippines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SaaS business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Qianxiang Shiji Technology Development (Beijing) Co., Ltd.</w:t>
            </w:r>
          </w:p>
        </w:tc>
        <w:tc>
          <w:tcPr>
            <w:tcW w:w="1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March 21, 2005</w:t>
            </w:r>
          </w:p>
        </w:tc>
        <w:tc>
          <w:tcPr>
            <w:tcW w:w="16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PRC</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holding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(“Qianxiang Shiji”)</w:t>
            </w:r>
          </w:p>
        </w:tc>
        <w:tc>
          <w:tcPr>
            <w:tcW w:w="1260" w:type="dxa"/>
            <w:vAlign w:val="bottom"/>
            <w:gridSpan w:val="2"/>
            <w:vMerge w:val="continue"/>
            <w:shd w:val="clear" w:color="auto" w:fill="CCEEFF"/>
          </w:tcPr>
          <w:p>
            <w:pPr>
              <w:spacing w:after="0"/>
              <w:rPr>
                <w:sz w:val="14"/>
                <w:szCs w:val="14"/>
                <w:color w:val="auto"/>
              </w:rPr>
            </w:pPr>
          </w:p>
        </w:tc>
        <w:tc>
          <w:tcPr>
            <w:tcW w:w="1620" w:type="dxa"/>
            <w:vAlign w:val="bottom"/>
            <w:gridSpan w:val="3"/>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Letting Partnership Ltd (“TLP”)</w:t>
            </w:r>
          </w:p>
        </w:tc>
        <w:tc>
          <w:tcPr>
            <w:tcW w:w="1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August 30,2024</w:t>
            </w:r>
          </w:p>
        </w:tc>
        <w:tc>
          <w:tcPr>
            <w:tcW w:w="162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England and Wales, UK</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 estate accounting business</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Variable Interest Entity:</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Beijing Qianxiang Tiancheng Technology Development Co., Ltd.</w:t>
            </w:r>
          </w:p>
        </w:tc>
        <w:tc>
          <w:tcPr>
            <w:tcW w:w="1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October 28, 2002</w:t>
            </w:r>
          </w:p>
        </w:tc>
        <w:tc>
          <w:tcPr>
            <w:tcW w:w="16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PRC</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CEEFF"/>
          </w:tcPr>
          <w:p>
            <w:pPr>
              <w:spacing w:after="0"/>
              <w:rPr>
                <w:sz w:val="10"/>
                <w:szCs w:val="10"/>
                <w:color w:val="auto"/>
              </w:rPr>
            </w:pPr>
          </w:p>
        </w:tc>
        <w:tc>
          <w:tcPr>
            <w:tcW w:w="1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Internet business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(“Qianxiang Tiancheng”)</w:t>
            </w:r>
          </w:p>
        </w:tc>
        <w:tc>
          <w:tcPr>
            <w:tcW w:w="1260" w:type="dxa"/>
            <w:vAlign w:val="bottom"/>
            <w:gridSpan w:val="2"/>
            <w:vMerge w:val="continue"/>
            <w:shd w:val="clear" w:color="auto" w:fill="CCEEFF"/>
          </w:tcPr>
          <w:p>
            <w:pPr>
              <w:spacing w:after="0"/>
              <w:rPr>
                <w:sz w:val="14"/>
                <w:szCs w:val="14"/>
                <w:color w:val="auto"/>
              </w:rPr>
            </w:pPr>
          </w:p>
        </w:tc>
        <w:tc>
          <w:tcPr>
            <w:tcW w:w="1620" w:type="dxa"/>
            <w:vAlign w:val="bottom"/>
            <w:gridSpan w:val="3"/>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Subsidiaries of Variable Interest Entity:</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Beijing Qianxiang Wangjing Technology Development Co., Ltd.</w:t>
            </w: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November 11, 2008</w:t>
            </w:r>
          </w:p>
        </w:tc>
        <w:tc>
          <w:tcPr>
            <w:tcW w:w="16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PRC</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0"/>
                <w:szCs w:val="10"/>
                <w:color w:val="auto"/>
              </w:rPr>
            </w:pPr>
          </w:p>
        </w:tc>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Internet business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(“Qianxiang Wangjing”)</w:t>
            </w:r>
          </w:p>
        </w:tc>
        <w:tc>
          <w:tcPr>
            <w:tcW w:w="126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VIE arrangements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PRC regulations limit direct foreign ownership of business entities providing value-added telecommunications services, online advertising services and internet services in the PRC where certain licenses are required for the provision of such services. Although the Company no longer operates businesses requiring the VIE, historically, the Company provided online advertising, internet value-added services (“IVAS”), and internet finance services through its VIE, Qianxiang Tiancheng, which is referred to as the “VIE”.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Qianxiang Shiji (“WFOE”), the Company’s Wholly Foreign-Owned Enterprise, entered into a series of contractual arrangements, including: (1) Power of Attorney; (2) Business Operation Agreements; (3) Exclusive Equity Option Agreement; (4) Spousal Consent Agreement; (5) Exclusive Technical and Consulting Services Agreement; (6) Intellectual Property Licenses Agreement; (7) Loan Agreements, and (8) Equity Interest Pledge Agreement with the VIE that enable the Company to (1) have power to direct the activities that most significantly affects the economic performance of the VIE, and (2) receive the economic benefits of the VIE that could be significant to the VIE. Accordingly, the WFOE is considered the primary beneficiary of the VIE and has consolidated the VIE’s financial results of operations, assets and liabilities in the Company’s consolidated financial statements. In making the conclusion that the Company is the primary beneficiary of the VIE, the Company believes the Company’s rights under the terms of the exclusive option agreement and power of attorney are substantive as they relate to operating matters, which provide the Company with a substantive kick-out right.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 specifically, the Company believes the terms of the contractual agreements are valid, binding, and enforceable under PRC laws and regulations currently in effect. In particular, the Company believes that the minimum amount of consideration permitted by the applicable PRC law to exercise the exclusive option does not represent a financial barrier or disincentive for the Company to exercise its rights under the exclusive option agreement. A simple majority vote of the Company’s board of directors is required to pass a resolution to exercise the Company’s rights under the exclusive option agreement, for which the consent from Mr. Joe Chen, who holds the most voting interests in the Company and is also the Company’s chairman and CEO, is not required. The Company’s rights under the exclusive option agreement give the Company the power to control the shareholders of the VIE and thus the power to direct the activities that most significantly impact the VIE’s economic performance. In addition, the Company’s rights under powers of attorney also reinforce the Company’s abilities to direct the activities that most significantly impact the VIE’s economic performance. The Company also believes that this ability to exercise control ensures that the VIE will continue to execute and renew service agreements that benefit the Company, currently largely comprised of Research and Development services to the Company’s SaaS businesses. By charging service fees at the sole discretion of the Company, and by ensuring that service agreements are executed and renewed indefinitely, the Company has the right to receive substantially all of the economic benefits from the VIE.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VIE and its subsidiaries hold the requisite licenses and permits necessary to conduct the Company’s business in PRC under the current business arrangements.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financial statement balances and amounts of the Company’s VIE were included in the accompanying condensed consolidated financial statements after elimination of intercompany balances and transactions between the offshore companies, WFOE, VIE and VIE’s subsidiaries. As of December 31, 2024 and September 30, 2025, the balance of the amounts payable by the VIE and its subsidiaries to the WFOE related to the service fees were nil.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73"/>
        </w:trPr>
        <w:tc>
          <w:tcPr>
            <w:tcW w:w="40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gridSpan w:val="3"/>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w:t>
            </w:r>
          </w:p>
        </w:tc>
      </w:tr>
      <w:tr>
        <w:trPr>
          <w:trHeight w:val="360"/>
        </w:trPr>
        <w:tc>
          <w:tcPr>
            <w:tcW w:w="4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0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(1,698)</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(2,523)</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(8,808)</w:t>
            </w:r>
          </w:p>
        </w:tc>
        <w:tc>
          <w:tcPr>
            <w:tcW w:w="34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w:t>
            </w:r>
          </w:p>
        </w:tc>
      </w:tr>
      <w:tr>
        <w:trPr>
          <w:trHeight w:val="360"/>
        </w:trPr>
        <w:tc>
          <w:tcPr>
            <w:tcW w:w="4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0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34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no consolidated VIE assets that are collateral for the VIE obligations and can only be used to settle the VIE obligations. There are no creditors (or beneficial interest holders) of the VIE that have recourse to the general credit of the Company or any of its consolidated subsidiaries. However, if the VIE ever need financial support, the Company or its subsidiaries may, at its option and subject to statutory limits and restrictions, provide financial support to its VIE through loans to the shareholders of the VIE or entrustment loans to the VIE.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Relevant PRC laws and regulations restrict the VIE from transferring a portion of its net assets, equivalent to the balance of its statutory reserve and its share capital, to the Company in the form of loans and advances or cash dividends. Please refer to Note 12 for disclosure of restricted net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REVISION TO PRIOR PERIOD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filing of the Annual Report on Form 10-K for the fiscal year ended December 31, 2023 with the United States Securities and Exchange Commission (the “SEC”), management of Moatable, Inc. (the “Company”) discovered that the sales tax liability was understated as of September 30, 2024 by $3,293, of which $2,358 is related to the prior years of 2021 through 2023, and $336 and $935 are related to the three months and nine months period ended September 30, 2024,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Staff Accounting Bulletin (“SAB”) No. 99, “Materiality,” and SAB No. 108, “Considering the Effects of Prior Year Misstatements when Quantifying Misstatements in Current Year Financial Statements,” the Company evaluated the adjustments detailed above, and determined the related impact did not materially misstate its consolidated financial statements as of and for the year ended December 31, 2023 or its condensed consolidated financial statements for the periods ended March 31, 2023, June 30, 2023, September 30, 2023, March 31, 2024, June 30, 2024, and September 30,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concluded that the misstatement was not material to its previously issued financial statements, the Company has determined it was appropriate to present the impacts to its consolidated financial statements for the year ended December 31, 2023 on a prospective basis to provide appropriate context to stakeholders. Revision to its consolidated financial statements as of and for the year ended December 31, 2023 was included within the comparative consolidated financial statements as of and for the year ended December 31, 2024 contained in the Annual Report on Form 10-K filed with the SEC on April 15, 2025. Revisions to the Company’s condensed consolidated financial statements for the periods ended September 30, 2024 are tabulated below.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omission of accrual of US sales tax liabilities was totaled $3,293, which has impact for the three and nine months ended September 30, 2024 by increasing $336 and $935 for selling expenses and $2,358 for the opening of accumulated deficit.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are the relevant line items from the Company’s consolidated balance sheet as of September 30, 2024, condensed consolidated statement of operations and comprehensive loss for the three and nine months ended September 30, 2024, and condensed consolidated statements of cashflows for the nine months ended September 30, 2024, which illustrate the effect of the adjustments to the period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Opening accumulated deficit as of January 1,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(716,315)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(718,673)</w:t>
            </w:r>
          </w:p>
        </w:tc>
        <w:tc>
          <w:tcPr>
            <w:tcW w:w="0" w:type="dxa"/>
            <w:vAlign w:val="bottom"/>
          </w:tcPr>
          <w:p>
            <w:pPr>
              <w:spacing w:after="0"/>
              <w:rPr>
                <w:sz w:val="1"/>
                <w:szCs w:val="1"/>
                <w:color w:val="auto"/>
              </w:rPr>
            </w:pPr>
          </w:p>
        </w:tc>
      </w:tr>
      <w:tr>
        <w:trPr>
          <w:trHeight w:val="43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information as of September 30, 2024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58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26,377</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27,486</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(717,791)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(721,084)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Moatable, Inc. shareholders’ equity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59,296</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Selected consolidated statement of operations and comprehensive loss information for the three months ended September 30,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3"/>
                <w:szCs w:val="13"/>
                <w:color w:val="auto"/>
              </w:rPr>
            </w:pPr>
          </w:p>
        </w:tc>
        <w:tc>
          <w:tcPr>
            <w:tcW w:w="8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before provision of income tax and income (loss) in equity method investments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non-controlling interest, net of tax</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before income (loss) in equity method investments and non-controlling interest,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Moatable, Inc.</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Moatable Inc.</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attributable to Moatable Inc. shareholders: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 of operations and comprehensive loss information for the nine months ended September 30,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13"/>
                <w:szCs w:val="13"/>
                <w:color w:val="auto"/>
              </w:rPr>
            </w:pP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0" w:type="dxa"/>
            <w:vAlign w:val="bottom"/>
          </w:tcPr>
          <w:p>
            <w:pPr>
              <w:spacing w:after="0"/>
              <w:rPr>
                <w:sz w:val="1"/>
                <w:szCs w:val="1"/>
                <w:color w:val="auto"/>
              </w:rPr>
            </w:pP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before provision of income tax and income (loss) in equity method investments and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net of tax</w:t>
            </w: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before income (loss) in equity method investments and non-controlling interest, net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tax</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Moatable, Inc.</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Moatable Inc.</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Moatable Inc. shareholders: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(0.003)</w:t>
            </w:r>
          </w:p>
        </w:tc>
        <w:tc>
          <w:tcPr>
            <w:tcW w:w="0" w:type="dxa"/>
            <w:vAlign w:val="bottom"/>
          </w:tcPr>
          <w:p>
            <w:pPr>
              <w:spacing w:after="0"/>
              <w:rPr>
                <w:sz w:val="1"/>
                <w:szCs w:val="1"/>
                <w:color w:val="auto"/>
              </w:rPr>
            </w:pPr>
          </w:p>
        </w:tc>
      </w:tr>
      <w:tr>
        <w:trPr>
          <w:trHeight w:val="432"/>
        </w:trPr>
        <w:tc>
          <w:tcPr>
            <w:tcW w:w="8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 of cash flows information for the nine months ended September 30, 2024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24"/>
                <w:szCs w:val="24"/>
                <w:color w:val="auto"/>
              </w:rPr>
            </w:pP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859"/>
        </w:trPr>
        <w:tc>
          <w:tcPr>
            <w:tcW w:w="674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have been prepared in accordance with accounting principles generally accepted in the United States of America (“US GAAP”) for interim financial information, and with the rules and regulations of the SEC. Accordingly, they do not include all of the information and footnotes required by U.S. GAAP for complete financial statements. In the opinion of the Company, the accompanying unaudited condensed financial statements contain all adjustments, consisting of only normal recurring adjustments, necessary for a fair statement of its financial position as of September 30, 2025, and its results of operations for the three and nine months ended September 30, 2024 and 2025, and cash flows for the nine months ended September 30, 2024 and 2025. The condensed balance sheet at December 31, 2024, was derived from audited annual financial statements but does not contain all of the footnote disclosures from the annual financial statements. The accompanying unaudited condensed consolidated financial statements should be read in conjunction with audited consolidated financial statements and accompanying notes in the Company’s Annual Report on Form 10-K for the fiscal year ended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include the financial statements of Moatable, Inc., its subsidiaries, its VIE and VIE’s subsidiaries. All inter-company transactions and balances are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reported amounts of revenues and expenses in the financial statements and accompanying notes. Significant accounting estimates reflected in the Company’s consolidated financial statements include, but are not limited to, valuation allowance for deferred income tax assets and probabilities associated with the potential for contingent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whether a particular set of activities and assets is a business, the Company assesses whether the set of assets and activities acquired includes, at a minimum, an input and substantive process and whether the acquired set has the ability to produce outputs. The Company applies a “screen test” that permits a simplified assessment of whether an acquired set of activities and assets is not a business. The test is met if substantially all of the fair value of the gross assets acquired is concentrated in a single identifiable asset or group of similar identifiable assets.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 which the acquired is considered a business are accounted for as a business combination as described below. Conversely, transactions not considered as business acquisition are accounted for as acquisition of assets and liabilities. In such transactions, the cost of acquisition is allocated proportionately to the acquired identifiable assets and liabilities, based on their proportionate fair value on the acquisition date. In an assets acquisition, no goodwill is recognized on the acquisition date.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 combinations are recorded using the acquisition method of accounting. The assets acquired, the liabilities assumed, and any non-controlling interests of the acquiree at the acquisition date, if any, are measured at their fair values as of the acquisition date. Goodwill is recognized and measured as the excess of the total consideration transferred plus the fair value of any non-controlling interest of the acquiree and fair value of previously held equity interest in the acquiree, if any, at the acquisition date over the fair values of the identifiable net assets acquired. Common forms of the consideration made in acquisitions include cash and common equity instruments. Consideration transferred in a business acquisition is measured at the fair value as of the date of acquisition. Acquisition-related expenses and restructuring costs are expensed as incurred.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acquisitions involving additional consideration to be transferred to the selling parties in the event certain future events occur or conditions are met (“contingent consideration”), the Company recognizes the acquisition date fair value of contingent consideration as part of the consideration transferred in exchange for the business combination. The Company determines the acquisition date fair value of contingent consideration using a scenario-based method under which a set of payoffs are calculated using the term of the earnout, projections, and an appropriate metric risk premium. These payoffs are then discounted back from the payment date to the valuation date using a payment discount rate. Finally, the discounted payments are summed together to arrive at the value of the contingent consideration. The scenario-based method incorporates the following key assumptions: (i) the forecasted achievement against certain operational metrics, (ii) the remaining contractual term, (iii) a metric risk premium, and (iv) a payment discount rate. The fair value measurement includes revenue forecasts which are a Level 3 measurement as defined in ASC Topic 820, Fair Value Measurement. The fair value of the contingent consideration is reviewed quarterly over the earn-out period to compare actual revenue earned to the estimated revenue used in the forecasts. Changes in the estimated fair value of the contingent consideration, up to the total contractual amount, are reflected in the results of operations in the periods in which they are identified. Changes in the fair value of the contingent consideration may materially impact and cause volatility in the Company’s future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1-inputs are based upon unadjusted quoted prices for identical assets or liabilities traded in active markets.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2-inputs are based upon quoted prices for similar assets and liabilities in active markets, quoted prices for identical or similar assets and liabilities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3-inputs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generally consist of cash and highly liquid investments with an original maturity of three months or less. The Company acts as an agent for its property management clients in managing specific cash and cash equivalents. These amounts are excluded from the accompanying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28, 2023, the Company entered into an Escrow Agreement with U.S. Bank National Association to enhance directors and officers’ insurance coverage. The escrow account with U.S. Bank was closed in September 2025. As of September 30, 2025, the Company had $9,945 restricted cash, consisting of $9,750 which is 100% cash collateralized for the credit facility and was used to fund a portion of the Company’s share purchases of its Class A ordinary shares (including Class A ordinary shares represented by ADSs) in the Offer (as defined below), and an additional $195 deposited as an interest reserve.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Long-term debt represents the Company’s borrowing from PNC Bank, National Association to fund a portion of the Company’s share repurchase in the Offer commenced in September 2025 with maturity term longer than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Accounts receivable are stated at the original amount less a provision for credit loss. Accounts receivable are recognized in the period when the Company has provided services to its customers and when its right to consideration is unconditional.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326, Financial Instruments - Credit Losses, the Company evaluates its accounts receivable, and other current receivable included in other current assets for expected credit losses on a regular basis. The Company maintains an estimated provision for credit losses to reduce its receivables to the amount that it believes will be collected. The Company considers factors in assessing the collectability of its receivables, such as the age of the amounts due, the customer’s payment history, credit-worthiness, current market conditions, reasonable and supportable forecasts of future economic conditions, and other specific circumstances related to the accounts. The Company determines to use aging schedule method in combination with current situation adjustment as the current expected credit losses (CECL) model to estimate the provision for credit loss. The Company adjusts the provision percentage periodically when there are significant differences between estimated bad debts and actual bad debts. If there is strong evidence indicating that the receivables are likely to be unrecoverable, the Company also makes a specific provision in the period in which a loss is determined to be probable. Receivable balances are written off after all collection efforts have been exhausted. For the three months ended September 30, 2024 and 2025, the Company recorded $140 and reversed $12 provision for credit loss for accounts receivable, respectively and $176 and nil provision for credit loss for other receivable, respectively. For the nine months ended September 30, 2024 and 2025, the Company recorded $140 and $55 provision for credit loss for accounts receivable, respectively, and $913 and nil provision for credit loss for other receivable,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control of the good or service has been transferred to the customer, generally upon delivery to a customer. The contracts have a fixed contract price and revenue is measured as the amount of consideration the Company expects to receive in exchange for transferring goods or providing services. The Company collects sales taxes and value-added taxes from customers on behalf of governmental authorities at the time of sale. These taxes are accounted for on a net basis and are not included in revenues and cost of revenues. The Company generally expenses sales commissions when incurred because the amortization period is less than one year. These costs are recorded within selling and marketing expenses. The Company does not have any significant financing payment terms as payment is received at or shortly after the point of sale.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Contracts with Customers (“ASC 606”) prescribes a five-step model that includes: (1) identify the contract; (2) identify the performance obligations; (3) determine the transaction price; (4) allocate the transaction price to the performance obligations; and (5) recognize revenue when (or as) performance obligations are satisfied.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generated the majority of revenue from SaaS services.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SaaS revenue: </w:t>
      </w:r>
      <w:r>
        <w:rPr>
          <w:rFonts w:ascii="Times New Roman" w:cs="Times New Roman" w:eastAsia="Times New Roman" w:hAnsi="Times New Roman"/>
          <w:sz w:val="18"/>
          <w:szCs w:val="18"/>
          <w:color w:val="auto"/>
        </w:rPr>
        <w:t>SaaS revenue mainly includes the revenue generated from (1) subscription services, (2) advertising services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Lofty and Trucker Path, and (3) other SaaS revenue. The Company recognizes revenue for subscription services over the life of the subscription. For Lofty’s advertising service, the Company acts as an agent to place advertisements on third-party websites or platforms. For Trucker Path’s advertising service, the Company acts as principal to place advertisements on Trucker Path’s platform. The Company recognizes revenue for advertising services over the advertising periods.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services: </w:t>
      </w:r>
      <w:r>
        <w:rPr>
          <w:rFonts w:ascii="Times New Roman" w:cs="Times New Roman" w:eastAsia="Times New Roman" w:hAnsi="Times New Roman"/>
          <w:sz w:val="18"/>
          <w:szCs w:val="18"/>
          <w:color w:val="auto"/>
        </w:rPr>
        <w:t>Other services mainly include revenue from the provision of back-office services to Oak Pacific Investment (“OPI”)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non-recurring sources. The Company provides back-office services including accounting, legal, and business-related consulting services, which is a single performance obligation provided over the contract periods with pre-determined stand-alone selling price. The Company recognizes revenue over the contract periods.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revenue by subscription, advertising, and other services: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40" w:type="dxa"/>
            <w:vAlign w:val="bottom"/>
          </w:tcPr>
          <w:p>
            <w:pPr>
              <w:spacing w:after="0"/>
              <w:rPr>
                <w:sz w:val="15"/>
                <w:szCs w:val="15"/>
                <w:color w:val="auto"/>
              </w:rPr>
            </w:pPr>
          </w:p>
        </w:tc>
        <w:tc>
          <w:tcPr>
            <w:tcW w:w="2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30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Lofty</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17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25,865</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services</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1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SaaS services</w:t>
            </w:r>
          </w:p>
        </w:tc>
        <w:tc>
          <w:tcPr>
            <w:tcW w:w="14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25,656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29,762</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Trucker Path</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17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26,385</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services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SaaS services</w:t>
            </w:r>
          </w:p>
        </w:tc>
        <w:tc>
          <w:tcPr>
            <w:tcW w:w="1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4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7,425</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10,332</w:t>
            </w:r>
          </w:p>
        </w:tc>
        <w:tc>
          <w:tcPr>
            <w:tcW w:w="1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20,216</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27,821</w:t>
            </w:r>
          </w:p>
        </w:tc>
      </w:tr>
      <w:tr>
        <w:trPr>
          <w:trHeight w:val="24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operations</w:t>
            </w:r>
          </w:p>
        </w:tc>
        <w:tc>
          <w:tcPr>
            <w:tcW w:w="1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17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57,701</w:t>
            </w:r>
          </w:p>
        </w:tc>
      </w:tr>
      <w:tr>
        <w:trPr>
          <w:trHeight w:val="20"/>
        </w:trPr>
        <w:tc>
          <w:tcPr>
            <w:tcW w:w="3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balances: Timing of revenue recognition may differ from the timing of invoicing to customers. A contract asset is recorded when the Company has transferred services to the customer before payment is received or is due, and the Company’s right to consideration is conditional on future performance or other factors in the contract. There were no contract assets recorded as of December 31, 2024 and September 30,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revenue mainly represents payments received from customers related to unsatisfied performance obligations for SaaS. The Company’s total deferred revenue was $4,577 and $4,904 as of December 31, 2024 and September 30, 2025, respectively, which is substantially recognized as revenue within one year. The amount of revenue recognized during the nine months ended September 30, 2024 and 2025 that was previously included in the deferred revenue as of December 31, 2023 and 2024 was $3,666 and $4,235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per share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income (loss) per ordinary share is computed by dividing net income (loss) attributable to ordinary shareholders by the weighted average number of ordinary shares outstanding during the period.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Diluted income (loss) per ordinary share reflects the potential dilution that could occur if securities were exercised or converted into ordinary shares. The Company had stock options and non-vested restricted shares, which could potentially dilute basic earnings per share in the future. All stock options and nonvested restricted shares in the diluted loss per ordinary share computation were excluded in periods of loss for the nine months ended September 30, 2024 and for the three and nine months ended September 30, 2025, as their impact is anti-dilutive. 250,000 stock options and 6,782,962 nonvested restricted shares in the diluted income per ordinary share computation were excluded for the three months ended September 30, 2024 because their inclusion would have been anti-dilutive.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The Company adopted the new disclosures for the annual periods beginning on January 1, 2025. The Company will include the applicable and relevant required disclosures in the Income Taxes footnote in the Form 10-K for the year ending December 31,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to improve the disclosures about an entity’s expenses including more detailed information about the types of expenses in commonly presented expense captions. At each interim and annual reporting period, entities will disclose in tabular format disaggregating information about prescribed categories underlying relevant income statement captions, as well as the total amount of selling expense and a description of the composition of its selling expense. The amendments in this update are effective for annual reporting periods beginning after December 15, 2026, and interim reporting periods beginning after December 15, 2027. Early adoption is permitted. Public business entities are required to adopt the ASU prospectively. However, public business entities are permitted to apply the amendments in the ASU retrospectively. In January 2025, the FASB issued ASU 2025 - 01 to clarify the effective date of ASU 2024 - 03 (Expense Disaggregation Disclosures). The amendment confirms that all public business entities must adopt ASU 2024 - 03 in annual periods beginning after December 15, 2026, and in interim periods beginning after December 15, 2027, addressing ambiguity for non - calendar year - end entities. Early adoption of ASU 2024 - 03 remains allowed. The Company is in the process of evaluation the impact of adopting this new guidance on its consolidated financial statement.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The amendments in ASU 2025-05 provide entities with a practical expedient to simplify the estimation of expected credit losses on current accounts receivable and current contract assets that arise from transactions accounted for under ASC 606, Revenue from Contracts with Customers (“ASC 606”) by allowing the assumption that current conditions as of the balance sheet date will not change during the remaining life of the asset. ASU 2025-05 is effective for the Company for its for annual reporting periods beginning after December 15, 2025, and interim reporting periods within those annual reporting periods, with early adoption permitted. The Company is currently evaluating the impact ASU 2025-05 will have on its consolidated financial statements.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amendments remove all references to prescriptive and sequential software development stages (referred to as “project stages”) throughout Subtopic 350-40. Therefore, an entity is required to start capitalizing software costs when both of the following occur: Management has authorized and committed to funding the software project. It is probable that the project will be completed and the software will be used to perform the function intended (referred to as the “probable-to complete recognition threshold”). In evaluating the probable-to-complete recognition threshold, an entity is required to consider whether there is significant uncertainty associated with the development activities of the software (referred to as “significant development uncertainty”). The two factors to consider in determining whether there is significant development uncertainty are whether: The software being developed has technological innovations or novel, unique, or unproven functions or features, and the uncertainty related to those technological innovations, functions, or features, if identified, has not been resolved through coding and testing. The entity has determined what it needs the software to do (for example, functions or features), including whether the entity has identified or continues to substantially revise the software’s significant performance requirements. The amendments in this Update specify that the disclosures in Subtopic 360 10, Property, Plant, and Equipment—Overall, are required for all capitalized internal-use software costs, regardless of how those costs are presented in the financial statements. Additionally, the amendments clarify that the intangibles disclosures in paragraphs 350-30-50-1 through 50-3 are not required for capitalized internal-use software costs. Furthermore, the amendments in this Update supersede the website development costs guidance and incorporate the recognition requirements for website-specific development costs from Subtopic 350-50 into Subtopic 350-40. The amendments in this Update are effective for all entities for annual reporting periods beginning after December 15, 2027, and interim reporting periods within those annual reporting periods. The Company is currently evaluating the impact of adopting this new guidance on its consolidated financial statements.</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Recently issued ASUs by the FASB, except for the ones mentioned above, have no material impact on the Company’s consolidated results of operations or financial position.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 2025, for the purpose of entering into the insurance brokerage business, the Company acquired 100% membership interest of Truckers Best Insurance LLC (“TBI”), a company incorporated in South Carolina. The aggregate purchase price is subject to certain performance based earn-out targets set forth in the membership interest purchase agreement. Total purchase consideration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2480" w:type="dxa"/>
            <w:vAlign w:val="bottom"/>
            <w:tcBorders>
              <w:bottom w:val="single" w:sz="8" w:color="CCEEFF"/>
            </w:tcBorders>
          </w:tcPr>
          <w:p>
            <w:pPr>
              <w:spacing w:after="0"/>
              <w:rPr>
                <w:sz w:val="15"/>
                <w:szCs w:val="15"/>
                <w:color w:val="auto"/>
              </w:rPr>
            </w:pPr>
          </w:p>
        </w:tc>
        <w:tc>
          <w:tcPr>
            <w:tcW w:w="58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USD</w:t>
            </w:r>
          </w:p>
        </w:tc>
      </w:tr>
      <w:tr>
        <w:trPr>
          <w:trHeight w:val="20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58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4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Contingent consideration </w:t>
            </w:r>
            <w:r>
              <w:rPr>
                <w:rFonts w:ascii="Times New Roman" w:cs="Times New Roman" w:eastAsia="Times New Roman" w:hAnsi="Times New Roman"/>
                <w:sz w:val="25"/>
                <w:szCs w:val="25"/>
                <w:color w:val="auto"/>
                <w:vertAlign w:val="superscript"/>
              </w:rPr>
              <w:t>(1)</w:t>
            </w:r>
          </w:p>
        </w:tc>
        <w:tc>
          <w:tcPr>
            <w:tcW w:w="5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09"/>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58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r>
      <w:tr>
        <w:trPr>
          <w:trHeight w:val="20"/>
        </w:trPr>
        <w:tc>
          <w:tcPr>
            <w:tcW w:w="24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5"/>
        </w:trPr>
        <w:tc>
          <w:tcPr>
            <w:tcW w:w="2480" w:type="dxa"/>
            <w:vAlign w:val="bottom"/>
            <w:tcBorders>
              <w:bottom w:val="single" w:sz="8" w:color="auto"/>
            </w:tcBorders>
          </w:tcPr>
          <w:p>
            <w:pPr>
              <w:spacing w:after="0"/>
              <w:rPr>
                <w:sz w:val="4"/>
                <w:szCs w:val="4"/>
                <w:color w:val="auto"/>
              </w:rPr>
            </w:pPr>
          </w:p>
        </w:tc>
        <w:tc>
          <w:tcPr>
            <w:tcW w:w="5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r>
    </w:tbl>
    <w:p>
      <w:pPr>
        <w:spacing w:after="0" w:line="36" w:lineRule="exact"/>
        <w:rPr>
          <w:sz w:val="20"/>
          <w:szCs w:val="20"/>
          <w:color w:val="auto"/>
        </w:rPr>
      </w:pPr>
    </w:p>
    <w:p>
      <w:pPr>
        <w:jc w:val="both"/>
        <w:ind w:left="340" w:hanging="332"/>
        <w:spacing w:after="0" w:line="253"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pay a cash earnout to the former sole shareholder of TBI based on the achievement against certain operational metrics in the 12-month and 24-month periods beginning on the closing date on which the TBI ceases to be subject to its S corporation election status under applicable law. The actual earnout is estimated to range between zero and $2,723. The fair value of the earnout was included in the initial purchase consideration and will be revalued and recorded at each reporting date until the end of the earnout period as a fair value adjustment within “Revaluation of contingent liabilities” in the Company’s consolidated statements of operations. As of September 30, 2025, the fair value of the earnout was $1,826, of which $928 was included in “Accrued expenses and other current liabilities”, and $898 was included in “Other non-current liabilities”, on the Company’s condensed consolidated balance sheets, respectively. The preliminary acquisition date fair value of the earnout is subject to subsequent measurement period adjustment as valuation is finalized. There are no deferred tax liabilities at acquisition as there is no difference between the tax and book basis of the contingent consideration.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$1,000 of total cash consideration has been paid.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by applying the acquisition method. Accordingly, the acquired assets and liabilities were recorded at their fair value on the date of acquisition. Fair value of net assets, aside from intangible assets, are valued at net book value with no fair value adjustments identified. The purchase price allocation on intangible assets was based on a valuation analysis that utilized and considered generally accepted valuation methodologies such as the income and cost approach. The Company engaged a third-party valuation firm to assist with the valuation of assets acquired and liabilities assumed in this business combination. The determination and allocation of fair values to the identifiable assets acquired and liabilities assumed are based on various assumptions and valuation methodologies requiring considerable judgment from management. The most significant variables in these valuations are discount rates, terminal values, the number of years on which to base the cash flow projections, and the assumptions and estimates used to determine the cash inflows and outflows. The Company determine discount rates to be used based on the risk inherent in the related activity’s current business model and industry comparisons. Terminal values are based on the expected life of assets, forecasted life cycle and forecasted cash flows over that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fair value assigned to the assets acquired and liabilities assumed at the acquisition date. These amounts reflect various preliminary fair value estimates and assumptions and are subject to change within the measurement period as valuations are finalized. The primary area of preliminary purchase price allocation subject to change relates to the valuation of intangible assets and residual goodwill.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2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2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 from acquisition of TBI</w:t>
            </w:r>
          </w:p>
        </w:tc>
        <w:tc>
          <w:tcPr>
            <w:tcW w:w="25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Intangible assets - licenses and carrier appointments </w:t>
            </w:r>
            <w:r>
              <w:rPr>
                <w:rFonts w:ascii="Times New Roman" w:cs="Times New Roman" w:eastAsia="Times New Roman" w:hAnsi="Times New Roman"/>
                <w:sz w:val="25"/>
                <w:szCs w:val="25"/>
                <w:color w:val="auto"/>
                <w:vertAlign w:val="superscript"/>
              </w:rPr>
              <w:t>(1)</w:t>
            </w: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Intangible assets - customer relationship </w:t>
            </w:r>
            <w:r>
              <w:rPr>
                <w:rFonts w:ascii="Times New Roman" w:cs="Times New Roman" w:eastAsia="Times New Roman" w:hAnsi="Times New Roman"/>
                <w:sz w:val="25"/>
                <w:szCs w:val="25"/>
                <w:color w:val="auto"/>
                <w:vertAlign w:val="superscript"/>
              </w:rPr>
              <w:t>(1)</w:t>
            </w:r>
          </w:p>
        </w:tc>
        <w:tc>
          <w:tcPr>
            <w:tcW w:w="2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2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bottom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Goodwill </w:t>
            </w:r>
            <w:r>
              <w:rPr>
                <w:rFonts w:ascii="Times New Roman" w:cs="Times New Roman" w:eastAsia="Times New Roman" w:hAnsi="Times New Roman"/>
                <w:sz w:val="24"/>
                <w:szCs w:val="24"/>
                <w:b w:val="1"/>
                <w:bCs w:val="1"/>
                <w:color w:val="auto"/>
                <w:vertAlign w:val="superscript"/>
              </w:rPr>
              <w:t>(2)</w:t>
            </w:r>
          </w:p>
        </w:tc>
        <w:tc>
          <w:tcPr>
            <w:tcW w:w="2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36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340" w:hanging="332"/>
        <w:spacing w:after="0" w:line="255"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intangible assets, including the licenses and carrier appointments, and customer relationship. The licenses and carrier appointments and customer relationship were valued using the multi-period excess earning method under income approach, which represents the excessive earnings generated by the asset that remains after a deduction for a return on other contributory assets. The estimated life of licenses and carrier appointments, customer relationship are indefinite and seven years, respectively. The screen test was not met, as the fair value was distributed across multiple distinct intangible assets rather than concentrated in a single identifiable asset or group of similar identifiable assets. There are no deferred tax assets at acquisition as there is no difference between the tax and book basis of the intangibles assets.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arose in the acquisition of TBI was attributable to the benefit of expected synergies, revenue growth, future market development and the assembled workforce as of the date of acquisition and assigned to the Trucker Path segment as a separate Trucker Path Insurance reporting unit. These benefits are not recognized separately from goodwill because they do not meet the recognition criteria for identifiable intangible assets. Goodwill arising from the acquisition is not expected to be deductible for tax purposes.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revenue and net loss of TBI since the acquisition date and that were included in the Company’s consolidated statements of operations for the three months ended September 30, 2025 are $50 and $735, respectively. The net revenue and net loss of TBI since the acquisition date and that were included in the Company’s consolidated statements of operations for the nine months ended September 30, 2025 are $71 and $1,200, respectively.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 forma results of operations for the TBI acquisition have not been presented as they are not material to the Company’s consolidated results.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investments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Fundrise, L.P.</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investment with readily determinable fair values: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Kaixin Holdings</w:t>
            </w: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investment without readily determinable fair values: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Suzhou Youge Interconnection Venture Capital Center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(iii)</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Solutions US corporation</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equity investments without readily determinable fair values</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5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3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October 2014, the Company entered into an agreement to purchase limited partnership interest of Fundrise, L.P. for a total consideration of $10,000. The Company held 98.04% equity interest as limited partner as of December 31, 2024 and September 30, 2025 and recognized its share of income of $165 and $165 for the three months ended September 30, 2024 and 2025, </w:t>
      </w:r>
      <w:r>
        <w:rPr>
          <w:rFonts w:ascii="Times New Roman" w:cs="Times New Roman" w:eastAsia="Times New Roman" w:hAnsi="Times New Roman"/>
          <w:sz w:val="18"/>
          <w:szCs w:val="18"/>
          <w:color w:val="212529"/>
        </w:rPr>
        <w:t>and share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income of $455 and $410 for the nine months ended September 30, 2024 and 2025, respectively.</w:t>
      </w:r>
    </w:p>
    <w:p>
      <w:pPr>
        <w:spacing w:after="0" w:line="179"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2025, Fundrise, L.P. reported revenue of $178 and $502, and operating income of $168 and $471, respectively. The net income of Fundrise, L.P. for the three months ended September 30, 2024 and 2025 was $168 and $168, of which $165 and $165 were attributable to the Company, respectively. The net income of Fundrise, L.P. for the nine months ended September 30, 2024 and 2025 was $464 and $418, of which $455 and $410 were attributable to the Company, respectively.</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2014, the Company entered into an agreement to purchase limited partnership interest of Beijing Fenghou Tianyuan Investment and Management Center L.P. for a total consideration of $1,385 (RMB10 million). The Company held 12.38% partnership interest as of December 31, 2024 and September 30, 2025 and did not recognize share of income for the three and nine months ended September 30, 2024 and 2025, respectively. For the three and nine months ended September 30, 2024, the Company recognized an impairment loss of nil and $588, respectively, and no impairment loss for the same periods in fiscal year 2025. Beijing Fenghou Tianyuan Investment and Management Center L.P. distributed dividends in cash of $90 (RMB0.6 million) to the Company in September 2025.</w:t>
      </w:r>
    </w:p>
    <w:p>
      <w:pPr>
        <w:spacing w:after="0" w:line="188"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2016, the Company entered into an agreement to purchase limited partnership interest of Suzhou Youge for a total consideration of $697 (RMB5 million) and held 2.98% equity interest. The Company acts as “General Partner” of Suzhou Youge, L.P. As of December 31, 2024, the Company recognized full impairment on this long-term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long-term debt as of December 31, 2024 and September 30, 2025 were as follows:</w:t>
      </w:r>
    </w:p>
    <w:p>
      <w:pPr>
        <w:sectPr>
          <w:pgSz w:w="11900" w:h="16838" w:orient="portrait"/>
          <w:cols w:equalWidth="0" w:num="1">
            <w:col w:w="9920"/>
          </w:cols>
          <w:pgMar w:left="980" w:top="661" w:right="999" w:bottom="1440" w:gutter="0" w:footer="0" w:header="0"/>
        </w:sectPr>
      </w:pP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7620</wp:posOffset>
            </wp:positionV>
            <wp:extent cx="900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7620</wp:posOffset>
            </wp:positionV>
            <wp:extent cx="9086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1" w:lineRule="exact"/>
        <w:rPr>
          <w:sz w:val="20"/>
          <w:szCs w:val="20"/>
          <w:color w:val="auto"/>
        </w:rPr>
      </w:pPr>
    </w:p>
    <w:p>
      <w:pPr>
        <w:sectPr>
          <w:pgSz w:w="11900" w:h="16838" w:orient="portrait"/>
          <w:cols w:equalWidth="0" w:num="2">
            <w:col w:w="8140" w:space="440"/>
            <w:col w:w="1340"/>
          </w:cols>
          <w:pgMar w:left="980" w:top="661" w:right="99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Bank</w:t>
            </w:r>
          </w:p>
        </w:tc>
        <w:tc>
          <w:tcPr>
            <w:tcW w:w="3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600" w:type="dxa"/>
            <w:vAlign w:val="bottom"/>
          </w:tcPr>
          <w:p>
            <w:pPr>
              <w:spacing w:after="0"/>
              <w:rPr>
                <w:sz w:val="18"/>
                <w:szCs w:val="18"/>
                <w:color w:val="auto"/>
              </w:rPr>
            </w:pPr>
          </w:p>
        </w:tc>
        <w:tc>
          <w:tcPr>
            <w:tcW w:w="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60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18</w:t>
            </w: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24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11, 2025, Moatable US Holdco, Inc., Lofty and Trucker Path (collectively, the “Borrowers”), each a wholly owned subsidiary of the Company entered into a senior secured credit facility with PNC Bank, National Association for an aggregate amount of up to $9.75 million, under which the Borrowers drew the full amount under the line on September 18, 2025. The credit facility bears interest at the Daily Simple SOFR plus 1.50%, plus a credit spread adjustment of 0.1%, and matures on October 31, 2026. The credit facility is 100% cash collateralized, with an interest reserve equal to three months of interest payments. The proceeds were used to fund a portion of the Company’s share repurchase of Class A ordinary shares (including Class A ordinary shares represented by ADSs) in the Offer commenced in September 2025. The amount drawn under the credit facility may be repaid at any time without penalty and does not permit reborrowing once repaid.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OPERATING 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and offices under non-cancellable operating lease agreements. These leases are renewable upon negotiation.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2025, cash paid for amounts included in the measurement of lease liabilities was $143 and $141, respectively. For the nine months ended September 30, 2024 and 2025, cash paid for amounts included in the measurement of lease liabilities was $388 and $564, respectively.</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operating lease cost and short-term lease cost for the three and nine months ended September 30, 2024 and 2025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40" w:type="dxa"/>
            <w:vAlign w:val="bottom"/>
          </w:tcPr>
          <w:p>
            <w:pPr>
              <w:spacing w:after="0"/>
              <w:rPr>
                <w:sz w:val="15"/>
                <w:szCs w:val="15"/>
                <w:color w:val="auto"/>
              </w:rPr>
            </w:pPr>
          </w:p>
        </w:tc>
        <w:tc>
          <w:tcPr>
            <w:tcW w:w="2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cost</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0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December 31, 2024 and September 30, 2025 was 3.73 and 3.07 years, respectively, and the weighted average discount rate of the operating leases was 5.08% and 3.75%,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September 30, 2025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16"/>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9"/>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share options and restricted shares vesting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and 2025, 512,235 and 255,420 Class A ordinary shares, respectively, were issued due to the exercise of share options or vesting of restricted share units under share-based compensation. During the nine months ended September 30, 2024 and 2025, 101,824,155 and 763,335 Class A ordinary shares, respectively, were issued due to the exercise of share options or vesting of restricted share units under share - based compensation.</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2025, the Company’s board of directors declared a special cash dividend of US$0.01346 per ordinary share, or US$0.6057 per ADS, to all holders of ordinary shares (including those in the form of ADSs) of record as of 5:00 p.m. Eastern Time on March 17, 2025. The aggregate amount of the cash dividend was approximately $11 million. The special cash dividend was paid from the Company’s current cash position on March 27,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from public market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7, 2022, the Company’s Board of Directors (the “Board”) authorized the repurchase of up to an aggregate of $10.0 million of the Company’s Class A ordinary shares, par value $0.001 per share, to be executed from time to time in open market transactions effected through a broker at prevailing market prices under ordinary principles of best execution within one year after commencement (the “Stock Repurchase Program”). The Stock Repurchase Program took effect on January 16, 2023. On October 13, 2023, the Board approved an extension and extra funding of the existing Stock Repurchase Program whereby the expiration date was extended to December 31, 2024 and the authorized repurchase amount was increased from $10.0 million to $15.0 million. On November 18, 2024, the Board approved an extension of the existing Stock Repurchase Program until December 31, 2026.</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Repurchase Program does not obligate the Company to repurchase any amount of the Company’s ordinary shares, and may be modified, extended, suspended, or discontinued at any time. The timing and amount of repurchases will be determined by the Company’s management based on a variety of factors such as the market price of the Company’s ordinary shares, the Company’s corporate cash requirements, and overall market conditions. The Stock Repurchase Program is subject to applicable legal requirements, including federal and state securities laws.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and 2025, the Company repurchased nil and 12,160 ADSs, representing nil and 547,200 Class A ordinary shares (each ADS is equivalent to 45 Ordinary Shares) for nil and $18 on the open market, at a weighted average price of nil and $1.43 per ADS, respectively. For the nine months ended September 30, 2024 and 2025, the Company repurchased 231,019 and 73,339 ADSs, representing 10,395,855 and 3,300,255 Class A ordinary shares (each ADS is equivalent to 45 Ordinary Shares) for $187 and $104 on the open market, at a weighted average price of $0.81 and $1.39 per ADS,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repurchase activity under the Stock Repurchase Program for the nine months ended September 30, 2025 (amount 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 of ADSs That</w:t>
            </w:r>
          </w:p>
        </w:tc>
        <w:tc>
          <w:tcPr>
            <w:tcW w:w="1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6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 of ADSs That</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ADSs Purchased</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the Programs</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Periods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January 2025: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29,667</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February 2025: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2025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2025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20,393</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July 2025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August 2025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660" w:type="dxa"/>
            <w:vAlign w:val="bottom"/>
          </w:tcPr>
          <w:p>
            <w:pPr>
              <w:spacing w:after="0"/>
              <w:rPr>
                <w:sz w:val="24"/>
                <w:szCs w:val="24"/>
                <w:color w:val="auto"/>
              </w:rPr>
            </w:pPr>
          </w:p>
        </w:tc>
        <w:tc>
          <w:tcPr>
            <w:tcW w:w="104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Shares withheld for payroll taxes on Restricted Stock Units (“RSU”) into treasury stock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an employee stock option service agreement on January 1, 2021, (the “ESOP Agreement”) with The Core Group (“Core”), pursuant to which Core withheld ADSs for the payroll tax liabilities from the employees. The Company used excess cash on hand to remit payroll tax liabilities on behalf of optionees. In fiscal year 2024,due to the Stock Repurchase Program, the Company decided to redesignate the ADSs withheld for the payroll taxes into treasury stock, which were 173,548 ADSs in the aggregate, representing 7,809,660 Class A ordinary shares (each ADS is equivalent to 45 Ordinary Shares) for $674, at a weighted average price of $3.89 per ADS. In March, 2025, the Company recorded ADSs withheld for the payroll taxes as treasury stock, which were 215 ADSs in the aggregate, representing 9,675 Class A ordinary shares (each ADS is equivalent to 45 Ordinary Shares) for $0.3, at a weighted average price of $1.53 per ADS. In June, 2025, the Company recorded ADSs withheld for the payroll taxes as treasury stock, which were 210 ADSs in the aggregate, representing 9,450 Class A ordinary shares (each ADS is equivalent to 45 Ordinary Shares) for $0.3, at a weighted average price of $1.46 per ADS. In September, 2025, the Company recorded ADSs withheld for the payroll taxes as treasury stock, which were 244 ADSs in the aggregate, representing 10,980 Class A ordinary shares (each ADS is equivalent to 45 Ordinary Shares) for $0.4, at a weighted average price of $1.59 per ADS.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True-up adjustment of the Class A ordinary shares and Treasury stock</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number of the Class A ordinary shares issued and outstanding and Treasury stock has been adjusted to reflect the true-up provisions based on the shares number recorded by the third-party transfer agent. The true-up adjustment resulted in an increase of 15,418,167 Class A ordinary shares and a decrease of 7,816,005 shares of Treasury stock, bringing the total number of Class A ordinary shares issued and outstanding to 726,595,513 and 653,561,413 as of September 30, 2025. This adjustment is immaterial to the financial statement presentation of the Company’s basic and diluted net income (loss) per share calculations.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Moatable, Inc. 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share options outstanding as of September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90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00" w:type="dxa"/>
            <w:vAlign w:val="bottom"/>
            <w:gridSpan w:val="4"/>
          </w:tcPr>
          <w:p>
            <w:pPr>
              <w:jc w:val="right"/>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1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00" w:type="dxa"/>
            <w:vAlign w:val="bottom"/>
            <w:gridSpan w:val="4"/>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760" w:type="dxa"/>
            <w:vAlign w:val="bottom"/>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life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life</w:t>
            </w:r>
          </w:p>
        </w:tc>
        <w:tc>
          <w:tcPr>
            <w:tcW w:w="300" w:type="dxa"/>
            <w:vAlign w:val="bottom"/>
          </w:tcPr>
          <w:p>
            <w:pPr>
              <w:spacing w:after="0"/>
              <w:rPr>
                <w:sz w:val="15"/>
                <w:szCs w:val="15"/>
                <w:color w:val="auto"/>
              </w:rPr>
            </w:pPr>
          </w:p>
        </w:tc>
        <w:tc>
          <w:tcPr>
            <w:tcW w:w="60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92"/>
              </w:rPr>
              <w:t>price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11,250,000</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3,750,000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11,250,000</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3,750,000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3"/>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11,250,000</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11,250,000</w:t>
            </w:r>
          </w:p>
        </w:tc>
        <w:tc>
          <w:tcPr>
            <w:tcW w:w="6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September 30, 2025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6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gridSpan w:val="5"/>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September 30, 2025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6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Share-based compensation is based on the fair value on the grant dates or the modification date over the requisite service period of award using the straight-line method.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employee stock options, the Company recorded share-based compensation of nil and $10 for the three months ended September 30, 2024 and 2025, and $250 and $30 for the nine months ended September 30, 2024 and 2025, respectively, based on the fair value on the grant dates over the requisite service period of award using the straight-line method.</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2025, there was no share-based compensation recorded for non-employee options.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$109 unrecognized share-based compensation expense relating to share options. This amount is expected to be recognized over a weighted - average vesting period of 2.67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Moatable, Inc. Nonvested restricted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restricted shares activity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Nonvested</w:t>
            </w:r>
          </w:p>
        </w:tc>
        <w:tc>
          <w:tcPr>
            <w:tcW w:w="200" w:type="dxa"/>
            <w:vAlign w:val="bottom"/>
          </w:tcPr>
          <w:p>
            <w:pPr>
              <w:spacing w:after="0"/>
              <w:rPr>
                <w:sz w:val="12"/>
                <w:szCs w:val="12"/>
                <w:color w:val="auto"/>
              </w:rPr>
            </w:pPr>
          </w:p>
        </w:tc>
        <w:tc>
          <w:tcPr>
            <w:tcW w:w="12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 ordinary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2"/>
                <w:szCs w:val="12"/>
                <w:color w:val="auto"/>
              </w:rPr>
            </w:pPr>
          </w:p>
        </w:tc>
        <w:tc>
          <w:tcPr>
            <w:tcW w:w="12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 at the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00" w:type="dxa"/>
            <w:vAlign w:val="bottom"/>
          </w:tcPr>
          <w:p>
            <w:pPr>
              <w:spacing w:after="0"/>
              <w:rPr>
                <w:sz w:val="15"/>
                <w:szCs w:val="15"/>
                <w:color w:val="auto"/>
              </w:rPr>
            </w:pPr>
          </w:p>
        </w:tc>
        <w:tc>
          <w:tcPr>
            <w:tcW w:w="12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2,493,075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(763,335)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True-up</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1,741,230</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compensation expenses based on the fair value of nonvested restricted shares on the grant dates over the requisite service period of award using the straight-line vesting attribution method. The fair value of the nonvested restricted shares on the grant date was the closing market price of the ordinary shares as of the date. The Company recorded compensation expenses related to nonvested restricted shares of $164 and $18 for the three months ended September 30, 2024 and 2025, and $1,261 and $56 for the nine months ended September 30, 2024 and 2025, respectively.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unrecognized compensation expense amounting to $53 related to nonvested restricted shares granted as of September 30, 2025. The expense is expected to be recognized over a weighted-average period of 1.65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 of Lofty, Inc. and Trucker Path,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13, 2020, Lofty, Inc. and Trucker Path, Inc. adopted equity incentive plans, whereby, after adjustment for a 1:200 reverse stock split, 150,000 ordinary shares of Lofty, Inc. (“2020 Lofty Plan”) and 150,000 ordinary shares of Trucker Path, Inc. (“2020 Trucker Path Plan”) are made available for future grant for employees or consultants of Lofty and Trucker Path, respectively, either in the form of incentive share options or restricted shares. On November 4, 2021, Lofty, Inc. and Trucker Path, Inc. approved the adoption of their 2021 equity incentive plans, whereby 25,000 ordinary shares of Lofty, Inc. (“2021 Lofty Plan”) and 25,000 ordinary shares of Trucker Path, Inc. (“2021 Trucker Path Plan”) are made available for future grant for employees or consultants of Lofty and Trucker Path, respectively, either in the form of incentive share options or restricted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of the options may not exceed ten years from the date of the grant. The awards under the above plans are subject to vesting schedules ranging from immediately upon grant to four years subsequent to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Lofty granted an aggregate of 7,800 options under 2021 Lofty Plan to Joseph Chen, the chairman and the chief executive of the Company, and Grant Moon, a director of the Company, as compensation for their service. The weighted average grant-date fair value of the options granted during the period presented was $25.20 per option. 25% of these options will vest on the yearly anniversary of the vesting commencement date for a total of four years, subject to the option holder’s continuous service as of each such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Trucker Path granted an aggregate of 7,800 options under 2021 Trucker Path Plan to Joseph Chen, the chairman and the chief executive of the Company, and Grant Moon, a director of the Company, as compensation for their service. The weighted average grant-date fair value of the options granted during the period presented was $14.77 per option. 25% of these options will vest on the yearly anniversary of the vesting commencement date for a total of four years, subject to the option holder’s continuous service as of each such date.</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share-based compensation expense for Lofty and Trucker Path for the three and nine months ended September 30, 2024 and 2025 as follows, based on the fair value on the grant dates over the requisite service period of award using the straight-line method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2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27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Lofty</w:t>
            </w: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8"/>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Trucker Path</w:t>
            </w:r>
          </w:p>
        </w:tc>
        <w:tc>
          <w:tcPr>
            <w:tcW w:w="19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20"/>
                <w:szCs w:val="20"/>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bl>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there were $227 and $261 unrecognized share-based compensation expense relating to share options of Lofty Plan and Trucker Path Plan, respectively. This amount is expected to be recognized over a weighted-average vesting period of 2.47 and 2.21 years for Lofty Plan and Trucker Path Plan,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share options outstanding of Lofty as of September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0"/>
                <w:szCs w:val="10"/>
                <w:color w:val="auto"/>
              </w:rPr>
            </w:pPr>
          </w:p>
        </w:tc>
        <w:tc>
          <w:tcPr>
            <w:tcW w:w="9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0"/>
                <w:szCs w:val="10"/>
                <w:color w:val="auto"/>
              </w:rPr>
            </w:pPr>
          </w:p>
        </w:tc>
        <w:tc>
          <w:tcPr>
            <w:tcW w:w="740" w:type="dxa"/>
            <w:vAlign w:val="bottom"/>
            <w:gridSpan w:val="3"/>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7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12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9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68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   contractual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1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life</w:t>
            </w: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9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6.00, 33.48 and 73.35</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46,554</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center"/>
              <w:ind w:left="57"/>
              <w:spacing w:after="0"/>
              <w:rPr>
                <w:sz w:val="20"/>
                <w:szCs w:val="20"/>
                <w:color w:val="auto"/>
              </w:rPr>
            </w:pPr>
            <w:r>
              <w:rPr>
                <w:rFonts w:ascii="Times New Roman" w:cs="Times New Roman" w:eastAsia="Times New Roman" w:hAnsi="Times New Roman"/>
                <w:sz w:val="18"/>
                <w:szCs w:val="18"/>
                <w:color w:val="auto"/>
              </w:rPr>
              <w:t>38,928</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09"/>
        </w:trPr>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rPr>
              <w:t>38,928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24"/>
                <w:szCs w:val="24"/>
                <w:color w:val="auto"/>
              </w:rPr>
            </w:pP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840" w:type="dxa"/>
            <w:vAlign w:val="bottom"/>
            <w:gridSpan w:val="3"/>
          </w:tcPr>
          <w:p>
            <w:pPr>
              <w:jc w:val="cente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cente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19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3"/>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46,748</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09"/>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Balance, September 30, 2025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46,554</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10"/>
        </w:trPr>
        <w:tc>
          <w:tcPr>
            <w:tcW w:w="2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Exercisable, September 30, 2025</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38,928</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September 30, 2025</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7,626</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share options outstanding of Trucker Path as of September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7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760" w:type="dxa"/>
            <w:vAlign w:val="bottom"/>
            <w:gridSpan w:val="3"/>
            <w:vMerge w:val="restart"/>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7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7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7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gridSpan w:val="3"/>
            <w:vMerge w:val="continue"/>
          </w:tcPr>
          <w:p>
            <w:pPr>
              <w:spacing w:after="0"/>
              <w:rPr>
                <w:sz w:val="12"/>
                <w:szCs w:val="12"/>
                <w:color w:val="auto"/>
              </w:rPr>
            </w:pPr>
          </w:p>
        </w:tc>
        <w:tc>
          <w:tcPr>
            <w:tcW w:w="9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Pr>
          <w:p>
            <w:pPr>
              <w:spacing w:after="0"/>
              <w:rPr>
                <w:sz w:val="15"/>
                <w:szCs w:val="15"/>
                <w:color w:val="auto"/>
              </w:rPr>
            </w:pPr>
          </w:p>
        </w:tc>
        <w:tc>
          <w:tcPr>
            <w:tcW w:w="7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40" w:type="dxa"/>
            <w:vAlign w:val="bottom"/>
          </w:tcPr>
          <w:p>
            <w:pPr>
              <w:spacing w:after="0"/>
              <w:rPr>
                <w:sz w:val="15"/>
                <w:szCs w:val="15"/>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15"/>
                <w:szCs w:val="15"/>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$ 4.00, 64.70 and 133.00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49,015</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49,015</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24"/>
                <w:szCs w:val="24"/>
                <w:color w:val="auto"/>
              </w:rPr>
            </w:pP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cente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cente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3"/>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Balance, December 31, 2024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49,015</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Balance, September 30, 2025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49,015</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Exercisable, September 30, 2025</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41,115</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September 30, 2025</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w w:val="99"/>
              </w:rPr>
              <w:t>23</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amount of share-based compensation expense for options and nonvested restricted shares of the Company, Lofty and Trucker Path, attributable to selling and marketing, research and development, general and administrative expenses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5"/>
                <w:szCs w:val="15"/>
                <w:color w:val="auto"/>
              </w:rPr>
            </w:pPr>
          </w:p>
        </w:tc>
        <w:tc>
          <w:tcPr>
            <w:tcW w:w="26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4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r>
      <w:tr>
        <w:trPr>
          <w:trHeight w:val="20"/>
        </w:trPr>
        <w:tc>
          <w:tcPr>
            <w:tcW w:w="4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income tax benefit recognized in the statements of operations for share-based compensation for the three and nine months ended September 30, 2024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BALANCES AND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related party and their relationships with the Company: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0" w:type="dxa"/>
            <w:vAlign w:val="bottom"/>
            <w:tcBorders>
              <w:bottom w:val="single" w:sz="8" w:color="CCEEFF"/>
            </w:tcBorders>
          </w:tcPr>
          <w:p>
            <w:pPr>
              <w:spacing w:after="0"/>
              <w:rPr>
                <w:sz w:val="16"/>
                <w:szCs w:val="16"/>
                <w:color w:val="auto"/>
              </w:rPr>
            </w:pPr>
          </w:p>
        </w:tc>
        <w:tc>
          <w:tcPr>
            <w:tcW w:w="444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Borders>
              <w:bottom w:val="single" w:sz="8" w:color="CCEEFF"/>
            </w:tcBorders>
          </w:tcPr>
          <w:p>
            <w:pPr>
              <w:spacing w:after="0"/>
              <w:rPr>
                <w:sz w:val="16"/>
                <w:szCs w:val="16"/>
                <w:color w:val="auto"/>
              </w:rPr>
            </w:pPr>
          </w:p>
        </w:tc>
        <w:tc>
          <w:tcPr>
            <w:tcW w:w="44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Relationship</w:t>
            </w:r>
          </w:p>
        </w:tc>
      </w:tr>
      <w:tr>
        <w:trPr>
          <w:trHeight w:val="21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Infinities Technology (Cayman) Holding Limited</w:t>
            </w:r>
          </w:p>
        </w:tc>
        <w:tc>
          <w:tcPr>
            <w:tcW w:w="18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 of the Company</w:t>
            </w:r>
          </w:p>
        </w:tc>
      </w:tr>
      <w:tr>
        <w:trPr>
          <w:trHeight w:val="248"/>
        </w:trPr>
        <w:tc>
          <w:tcPr>
            <w:tcW w:w="840" w:type="dxa"/>
            <w:vAlign w:val="bottom"/>
            <w:shd w:val="clear" w:color="auto" w:fill="CCEEFF"/>
          </w:tcPr>
          <w:p>
            <w:pPr>
              <w:spacing w:after="0"/>
              <w:rPr>
                <w:sz w:val="21"/>
                <w:szCs w:val="21"/>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(“Infinities”)</w:t>
            </w:r>
          </w:p>
        </w:tc>
        <w:tc>
          <w:tcPr>
            <w:tcW w:w="180" w:type="dxa"/>
            <w:vAlign w:val="bottom"/>
            <w:shd w:val="clear" w:color="auto" w:fill="CCEEFF"/>
          </w:tcPr>
          <w:p>
            <w:pPr>
              <w:spacing w:after="0"/>
              <w:rPr>
                <w:sz w:val="21"/>
                <w:szCs w:val="21"/>
                <w:color w:val="auto"/>
              </w:rPr>
            </w:pPr>
          </w:p>
        </w:tc>
        <w:tc>
          <w:tcPr>
            <w:tcW w:w="4460" w:type="dxa"/>
            <w:vAlign w:val="bottom"/>
            <w:shd w:val="clear" w:color="auto" w:fill="CCEEFF"/>
          </w:tcPr>
          <w:p>
            <w:pPr>
              <w:spacing w:after="0"/>
              <w:rPr>
                <w:sz w:val="21"/>
                <w:szCs w:val="21"/>
                <w:color w:val="auto"/>
              </w:rPr>
            </w:pPr>
          </w:p>
        </w:tc>
      </w:tr>
      <w:tr>
        <w:trPr>
          <w:trHeight w:val="21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Oak Pacific Investment (“OPI”) and its subsidiaries</w:t>
            </w: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 entity controlled together by chief executive officer and</w:t>
            </w:r>
          </w:p>
        </w:tc>
      </w:tr>
      <w:tr>
        <w:trPr>
          <w:trHeight w:val="234"/>
        </w:trPr>
        <w:tc>
          <w:tcPr>
            <w:tcW w:w="8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one of our independent board member, and its subsidiaries.</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September 30, 2025 amounts due from related party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r>
      <w:tr>
        <w:trPr>
          <w:trHeight w:val="210"/>
        </w:trPr>
        <w:tc>
          <w:tcPr>
            <w:tcW w:w="5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Infinities</w:t>
            </w: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OPI and its subsidiaries</w:t>
            </w: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r>
      <w:tr>
        <w:trPr>
          <w:trHeight w:val="20"/>
        </w:trPr>
        <w:tc>
          <w:tcPr>
            <w:tcW w:w="2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63" w:lineRule="exact"/>
        <w:rPr>
          <w:sz w:val="20"/>
          <w:szCs w:val="20"/>
          <w:color w:val="auto"/>
        </w:rPr>
      </w:pPr>
    </w:p>
    <w:p>
      <w:pPr>
        <w:jc w:val="both"/>
        <w:ind w:left="340" w:hanging="332"/>
        <w:spacing w:after="0" w:line="25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the receivable from Infinities in connection with the disposition of the SNS business. In November 2018, the Company’s Board of Directors approved a proposal for the sale of its SNS Business to Beijing Infinities for a combined consideration of $20,000 in cash and $40,000 in the form of Beijing Infinities shares to be issued to the Company. The Company collected $6,866 in 2019, however, by December 31, 2019, Beijing Infinities failed to make payments under the agreed extended repayment plan. Based on assessment of the collectability, the Company provided an allowance of $12,408 for the receivable. Additionally, the shares receivable in the form of Infinites Technology (Cayman) Holding Limited, which is the holding company of Beijing Infinities, were received as of December 31, 2020 and were recorded as long-term investments in the consolidated balance sheets as of December 31, 2020.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due to related party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September 30, 2025 amounts due to related party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Infinities</w:t>
            </w:r>
          </w:p>
        </w:tc>
        <w:tc>
          <w:tcPr>
            <w:tcW w:w="28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4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240" w:type="dxa"/>
            <w:vAlign w:val="bottom"/>
          </w:tcPr>
          <w:p>
            <w:pPr>
              <w:spacing w:after="0"/>
              <w:rPr>
                <w:sz w:val="18"/>
                <w:szCs w:val="18"/>
                <w:color w:val="auto"/>
              </w:rPr>
            </w:pPr>
          </w:p>
        </w:tc>
        <w:tc>
          <w:tcPr>
            <w:tcW w:w="740" w:type="dxa"/>
            <w:vAlign w:val="bottom"/>
            <w:gridSpan w:val="2"/>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r>
      <w:tr>
        <w:trPr>
          <w:trHeight w:val="20"/>
        </w:trPr>
        <w:tc>
          <w:tcPr>
            <w:tcW w:w="3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 and GEOGRAPHIC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engaged in providing SaaS platforms to customers primarily located in the United States. The Company’s operations are conducted in two reportable segments: Lofty and Trucker Path. The Company defines its segments as those operations whose results the chief operating decision maker (“CODM”) regularly reviews to analyze performance and allocate resources.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Lofty segment includes the Company’s all-in-one real estate sales acceleration and client lifecycle management platform. The Trucker Path segment includes the Company’s driver-centric online transportation management platform. The Company’s operating structure also includes Corporate, which is a center focusing on strategic initiatives, policy, governance and the scaling of global operations, and a platform services organization supporting operating units, global marketing category leadership teams and the center by providing efficient and scaled global services and capabilities, including, but not limited to, transactional work, data management, consumer analytics, digital commerce and social/digital hubs.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Operating Decision Maker and Method of Determining Segment Income or Loss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CODM is Joseph Chen, the chairman and the chief executive of the Company. The CODM assesses the performance of operating segments primarily based on net operating revenues and operating income (loss). These metrics guide strategic operating decisions and resource allocation across the Company. Segment operating income is calculated consistently with the methodology used for consolidated operating income. Decisions made at this level encompass, but are not limited to, setting annual business plan targets and allocating capital expenditures, all of which are aligned with the Company’s long-term growth objectives. Income taxes and certain treasury-related items, such as interest income and interest expense, are managed globally within Corporate. Information about total assets by segment is not disclosed because such information is not regularly provided to, or used by, the CODM.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measures the results of its segments using, among other measures, each segment’s revenue, cost of sales and operating expenses. Information for the Company’s segments and Corporate, is provided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Lofty</w:t>
            </w:r>
          </w:p>
        </w:tc>
        <w:tc>
          <w:tcPr>
            <w:tcW w:w="8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Trucker Path</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The Corporate</w:t>
            </w:r>
          </w:p>
        </w:tc>
        <w:tc>
          <w:tcPr>
            <w:tcW w:w="80" w:type="dxa"/>
            <w:vAlign w:val="bottom"/>
          </w:tcPr>
          <w:p>
            <w:pPr>
              <w:spacing w:after="0"/>
              <w:rPr>
                <w:sz w:val="15"/>
                <w:szCs w:val="15"/>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 services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Saas services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fair value change of a long-term investment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before provision of income tax and loss in equity method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and non-controlling interest, net of tax</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9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5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segment information:</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80" w:type="dxa"/>
            <w:vAlign w:val="bottom"/>
          </w:tcPr>
          <w:p>
            <w:pPr>
              <w:spacing w:after="0"/>
              <w:rPr>
                <w:sz w:val="18"/>
                <w:szCs w:val="18"/>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services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Saas services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7,425</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from fair value change of a long-term investment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Income before provision of income tax and loss in equity</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method investments and non-controlling interest, net of tax</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6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Other segment information: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Lofty</w:t>
            </w:r>
          </w:p>
        </w:tc>
        <w:tc>
          <w:tcPr>
            <w:tcW w:w="8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Trucker Path</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The Corporate</w:t>
            </w:r>
          </w:p>
        </w:tc>
        <w:tc>
          <w:tcPr>
            <w:tcW w:w="80" w:type="dxa"/>
            <w:vAlign w:val="bottom"/>
          </w:tcPr>
          <w:p>
            <w:pPr>
              <w:spacing w:after="0"/>
              <w:rPr>
                <w:sz w:val="15"/>
                <w:szCs w:val="15"/>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 services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Saas services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27,821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fair value change of a long-term investment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before provision of income tax and loss in equity method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and non-controlling interest, net of tax</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segment information:</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8"/>
                <w:szCs w:val="18"/>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80" w:type="dxa"/>
            <w:vAlign w:val="bottom"/>
          </w:tcPr>
          <w:p>
            <w:pPr>
              <w:spacing w:after="0"/>
              <w:rPr>
                <w:sz w:val="18"/>
                <w:szCs w:val="18"/>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services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Saas services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20,216</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22,453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12,229</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fair value change of a long-term investment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before provision of income tax and loss in equity method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and non-controlling interest, net of tax</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segment information:</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8"/>
                <w:szCs w:val="18"/>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total revenues: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31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43,330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52,573</w:t>
            </w:r>
          </w:p>
        </w:tc>
      </w:tr>
      <w:tr>
        <w:trPr>
          <w:trHeight w:val="216"/>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w:t>
            </w:r>
          </w:p>
        </w:tc>
      </w:tr>
      <w:tr>
        <w:trPr>
          <w:trHeight w:val="209"/>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16,686</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45,998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57,701</w:t>
            </w:r>
          </w:p>
        </w:tc>
      </w:tr>
      <w:tr>
        <w:trPr>
          <w:trHeight w:val="20"/>
        </w:trPr>
        <w:tc>
          <w:tcPr>
            <w:tcW w:w="446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13"/>
        </w:trPr>
        <w:tc>
          <w:tcPr>
            <w:tcW w:w="5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long-lived assets, net: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3"/>
        </w:trPr>
        <w:tc>
          <w:tcPr>
            <w:tcW w:w="3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73"/>
        </w:trPr>
        <w:tc>
          <w:tcPr>
            <w:tcW w:w="31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r>
      <w:tr>
        <w:trPr>
          <w:trHeight w:val="216"/>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10"/>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Long-lived assets, net</w:t>
            </w:r>
          </w:p>
        </w:tc>
        <w:tc>
          <w:tcPr>
            <w:tcW w:w="1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9,582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11,024</w:t>
            </w:r>
          </w:p>
        </w:tc>
      </w:tr>
      <w:tr>
        <w:trPr>
          <w:trHeight w:val="20"/>
        </w:trPr>
        <w:tc>
          <w:tcPr>
            <w:tcW w:w="3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STATUTORY RESERVE AND RESTRICTED NET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Regulations on Enterprises with Foreign Investment of China and their articles of association, the Company’s subsidiaries and VIE entities located in the PRC, being foreign invested enterprises established in the PRC, are required to provide for certain statutory reserves. These statutory reserve funds include one or more of the following: (i) a general reserve, (ii) an enterprise expansion fund or discretionary reserve fund, and (iii) a staff bonus and welfare fund. Subject to certain cumulative limits, the general reserve fund requires a minimum annual appropriation of 10% of after-tax profit (as determined under accounting principles generally accepted in China at each year-end); the other fund appropriations are at the subsidiaries’ or the affiliated PRC entities’ discretion. These statutory reserve funds can only be used for specific purposes of enterprise expansion, staff bonus and welfare, and are not distributable as cash dividends except in the event of liquidation of the Company’s subsidiaries, the Company’s affiliated PRC entities and their respective subsidiaries. The Company’s subsidiaries and VIE entities are required to allocate at least 10% of their after-tax profits to the general reserve until such reserve has reached 50% of their respective registered capital.</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Appropriations to the enterprise expansion reserve and the staff welfare and bonus reserve are to be made at the discretion of the board of directors of each of the Company’s subsidiaries. The appropriation to these reserves by the Company’s PRC subsidiaries was nil for the three and nine months ended September 30, 2024 and 2025,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these PRC laws and regulations and the requirement that distributions by PRC entities can only be paid out of distributable profits computed in accordance with PRC GAAP, the PRC entities are restricted from transferring a portion of their net assets to the Company. Amounts restricted include paid-in capital and the statutory reserves of the Company’s PRC subsidiaries and VIE entities. The aggregate amounts of capital and statutory reserves restricted which represented the amount of net assets of the relevant subsidiaries and VIE entities in the Company not available for distribution was $8,455 and $8,324 as of December 31, 2024 and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Utilization of the federal and state net operating losses may be subject to certain annual limitations under IRC Section 382 due to the “change in ownership” provisions. The annual limitation may result in the expiration of net operating losses and credits before utilization. The Company has a full valuation allowance against U.S. federal and state net operating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regarding contractual and employment relationships and a variety of other matters. The Company records contingent liabilities resulting from such claims, when a loss is assessed to be probable and the amount of the loss is reasonably estimable. In the opinion of management, there were no pending or threatened claims and litigation as of September 30, 2025 and through the issuance date of these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 2025, the Company announced the final results of its fixed price cash tender offer, commenced on September 3, 2025, to repurchase up to 225,000,000 Class A ordinary shares (including shares represented by ADSs) at $3.00 /45 per Class A ordinary share (or $3.00 per ADS) (such cash tender offer, the “Offer”). A total of 85,065,660 Class A ordinary shares (including shares represented by ADSs) were validly tendered and accepted for purchase for an aggregate consideration of approximately $5.7 million, excluding related fees and expenses. The repurchased shares represented approximately 13.0% of the Company’s outstanding Class A ordinary shares and 10.3% of its total share capital at that time. Payment for the accepted shares was made on October 6,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November 14, 2025, the date of issuance of the condensed consolidated financial statements, and noted that there are no other subsequent events that would require recognition or disclosure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Please read the following discussion and analysis of our financial condition and results of operations together with “Note About Forward-Looking Statements” and our consolidated financial statements and related notes included under Item 1 of this Quarterly Report on Form 10-Q as well as our Annual Report on Form 10-K for the fiscal year ended December 31, 2024, including Part I, Item 1A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model has been evolving continuously since our initial public offering in May 2011. At the time of our initial public offering, we were primarily a social networking service platform, and we had a number of ancillary businesses that were intended to monetize that platform. We gradually disposed of most of those ancillary businesses in the years that followed our initial public offering.</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Currently, we operate two SaaS businesses, Lofty and Trucker Path, both of which are considered reportable segments. Lofty offers an all-in-one real estate sales acceleration and client lifecycle management platform that allows real estate professionals to obtain and nurture leads, close transactions, and retain their clients. Trucker Path is a driver-centric online transportation management platform whose mission is to make freight transportation fast, reliable, and efficient. Trucker Path provides trip planning, navigation, freight sourcing, a market place that offers goods and services truckers use to operate their businesses and helps connect qualified brokers and carriers to expand their reach and initiate and complete transactions easily and efficiently. The majority of our revenues are generated by our SaaS businesses. Our SaaS businesses currently generate the vast majority of their revenue from the U.S. market.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total revenues increased from $16.7 million for the three months ended September 30, 2024 to $20.4 million for the same period in 2025, and net income of $1.2 million for the three months ended September 30, 2024 turned into net loss of $1.5 million for the same period in 2025. For the nine months ended September 30, 2024, our total revenues increased from $46.0 million to $57.7 million in the same period in 2025, and net loss for the nine months ended September 30, 2024 was $2.5 million and $2.2 million for the same period in 2025. Net loss for the three months ended September, 2025 was driven primarily by loss from operations of $1.5 million and income tax expenses of $0.5 million, partially offset by interest income of $0.2 million.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Loss from operations increased from $0.6 million for the three months ended September 30, 2024 to $1.5 million for the same period in 2025. Loss from operations narrowed from $2.8 million for the nine months ended September 30, 2024 to $2.0 million for the same period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3, 2025, we commenced a cash tender offer to repurchase up to 225,000,000 Class A ordinary shares, including Class A ordinary shares represented by ADSs, at a price of $3.00/45 per Class A ordinary share (or $3.00 per ADS) (such cash tender offer, the “Offer”). On October 3, 2025, we announced the final results of the Offer. A total of 85,065,660 Class A ordinary shares (including Class A ordinary shares represented by ADSs) were validly tendered and accepted for purchase for an aggregate consideration of approximately $5.7 million, excluding related fees and expenses. The repurchased shares represented approximately 13.0% of our outstanding Class A ordinary shares and 10.3% of our total share capital at that time. Payment for the accepted shares was made on October 6, 2025. We funded a portion of the purchase price, including the related fees and expenses, with borrowings under that certain Loan Agreement, dated as of September 11, 2025 (the “PNC Loan Agreement”), by and among Moatable US Holdco, Inc., Lofty and Trucker Path, as borrowers (the “Borrowers”), and PNC Bank, National Association, as the lender party thereto.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PNC Loan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11, 2025, the Borrowers, each a wholly owned subsidiary of our company, jointly and severally, entered into a new $9.75 million senior secured credit facility (the “Credit Facility”) pursuant to the Loan Agreement. The Borrowers drew the full amount under the Credit Facility on September 18, 2025. The proceeds from the Credit Facility were used to fund a portion of the purchase price in the Offer. The Credit Facility will mature on October 31, 2026. Borrowings under the Credit Facility bear interest at a rate per annum equal to the Daily Simple SOFR (as defined in the Loan Agreement) plus 1.50%, plus a credit spread adjustment of 0.1%. The Borrowers are required to pay a commitment fee for the unused portion of the Credit Facility of 0.15%. Any borrowings under the Credit Facility may be repaid, in whole or in part, at any time and from time to time without any other premium or penalty. Any amounts repaid under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may not be reborrowed. The Credit Facility does not require any mandatory prepayments or amortization payments. The Credit Facility is 100% cash collateralized. Additionally, we have established an interest reserve equal to three months’ worth of interest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Suspension of Reporting Obligations under the Exchange Act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noted in the Offer to Purchase for the Offer for our Class A ordinary shares (including Class A ordinary shares represented by ADSs), our Class A ordinary shares and ADSs are held by less than 300 persons. As a result, we are eligible to voluntarily suspend our reporting obligations under the Securities Exchange Act of 1934, as amended (the “Exchange Act”). We have determined to suspend our reporting obligations under the Exchange Act and expect to suspend such reporting soon after the filing of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derive substantially all of our revenues from SaaS subscription services, advertising services, and other related services. We recognize our revenues over the life of the SaaS subscriptions and net of business taxes or value added tax, as applicable. Timing of revenue recognition may differ from the timing of invoicing to customers. Deferred revenue mainly consists of payments received from customers related to unsatisfied performance obligations for SaaS subscription services and advertising services. Our total deferred revenue was $4.6 million and $4.9 million as of December 31, 2024 and September 30, 2025, respectively, most of which is expected to be recognized as revenue within one year.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principal components of our revenues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5"/>
                <w:szCs w:val="15"/>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28"/>
        </w:trPr>
        <w:tc>
          <w:tcPr>
            <w:tcW w:w="44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ind w:left="400"/>
              <w:spacing w:after="0" w:line="129"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1220" w:type="dxa"/>
            <w:vAlign w:val="bottom"/>
            <w:tcBorders>
              <w:bottom w:val="single" w:sz="8" w:color="auto"/>
            </w:tcBorders>
            <w:gridSpan w:val="2"/>
          </w:tcPr>
          <w:p>
            <w:pPr>
              <w:jc w:val="right"/>
              <w:ind w:right="572"/>
              <w:spacing w:after="0" w:line="129" w:lineRule="exact"/>
              <w:rPr>
                <w:sz w:val="20"/>
                <w:szCs w:val="20"/>
                <w:color w:val="auto"/>
              </w:rPr>
            </w:pPr>
            <w:r>
              <w:rPr>
                <w:rFonts w:ascii="Times New Roman" w:cs="Times New Roman" w:eastAsia="Times New Roman" w:hAnsi="Times New Roman"/>
                <w:sz w:val="14"/>
                <w:szCs w:val="14"/>
                <w:b w:val="1"/>
                <w:bCs w:val="1"/>
                <w:color w:val="auto"/>
              </w:rPr>
              <w:t>of US$)</w:t>
            </w: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1220" w:type="dxa"/>
            <w:vAlign w:val="bottom"/>
            <w:tcBorders>
              <w:bottom w:val="single" w:sz="8" w:color="auto"/>
            </w:tcBorders>
            <w:gridSpan w:val="2"/>
          </w:tcPr>
          <w:p>
            <w:pPr>
              <w:jc w:val="right"/>
              <w:ind w:right="572"/>
              <w:spacing w:after="0" w:line="129" w:lineRule="exact"/>
              <w:rPr>
                <w:sz w:val="20"/>
                <w:szCs w:val="20"/>
                <w:color w:val="auto"/>
              </w:rPr>
            </w:pPr>
            <w:r>
              <w:rPr>
                <w:rFonts w:ascii="Times New Roman" w:cs="Times New Roman" w:eastAsia="Times New Roman" w:hAnsi="Times New Roman"/>
                <w:sz w:val="14"/>
                <w:szCs w:val="14"/>
                <w:b w:val="1"/>
                <w:bCs w:val="1"/>
                <w:color w:val="auto"/>
              </w:rPr>
              <w:t>of US$)</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Lofty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5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4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25,865</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services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1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Saas services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10,056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25,656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29,762</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Trucker Path</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5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4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5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services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Saas services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7,425</w:t>
            </w:r>
          </w:p>
        </w:tc>
        <w:tc>
          <w:tcPr>
            <w:tcW w:w="24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10,332</w:t>
            </w:r>
          </w:p>
        </w:tc>
        <w:tc>
          <w:tcPr>
            <w:tcW w:w="16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20,216</w:t>
            </w:r>
          </w:p>
        </w:tc>
        <w:tc>
          <w:tcPr>
            <w:tcW w:w="2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27,821</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Operations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57,701</w:t>
            </w: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SaaS 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subscription revenues are derived primarily from platform services provided by Lofty and Trucker Path. Our revenues from advertising services are derived primarily from lead generation and print advertising services provided by Lofty and point-of-interest and banner advertising services provided by Trucker Path. Other SaaS revenue consists primarily of fuel program revenue from the Trucker Path segment and property management services from the Lofty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revenues from other services consist primarily of back-office services provided to Oak Pacific Investment.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Apple App Store and Google Play Store fees, cloud hosting services, merchant fees, and print services. The cost of revenues was $4.1 million and $5.3 million for the three months ended September 30, 2024 and 2025, respectively</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and $10.9 million and $14.9 million for the nine months ended September 30, 2024 and 2025, respectively</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primarily of selling and marketing expenses, research and development expenses, and general and administrative expenses. The following table sets forth our operating expenses, both as dollar amounts and as percentages of our total revenues, for the periods indicated (in thousands).</w:t>
      </w:r>
    </w:p>
    <w:p>
      <w:pPr>
        <w:sectPr>
          <w:pgSz w:w="11900" w:h="16838" w:orient="portrait"/>
          <w:cols w:equalWidth="0" w:num="1">
            <w:col w:w="9920"/>
          </w:cols>
          <w:pgMar w:left="980" w:top="661" w:right="999" w:bottom="1440" w:gutter="0" w:footer="0" w:header="0"/>
        </w:sectPr>
      </w:pPr>
    </w:p>
    <w:p>
      <w:pPr>
        <w:spacing w:after="0" w:line="18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7620</wp:posOffset>
            </wp:positionV>
            <wp:extent cx="19716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ind w:left="3820"/>
        <w:spacing w:after="0"/>
        <w:tabs>
          <w:tab w:leader="none" w:pos="54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ind w:left="3420"/>
        <w:spacing w:after="0"/>
        <w:rPr>
          <w:sz w:val="20"/>
          <w:szCs w:val="20"/>
          <w:color w:val="auto"/>
        </w:rPr>
      </w:pPr>
      <w:r>
        <w:rPr>
          <w:rFonts w:ascii="Times New Roman" w:cs="Times New Roman" w:eastAsia="Times New Roman" w:hAnsi="Times New Roman"/>
          <w:sz w:val="14"/>
          <w:szCs w:val="14"/>
          <w:b w:val="1"/>
          <w:bCs w:val="1"/>
          <w:color w:val="auto"/>
        </w:rPr>
        <w:t>(in thousands of US$, except for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-3175</wp:posOffset>
            </wp:positionV>
            <wp:extent cx="19716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-97155</wp:posOffset>
            </wp:positionV>
            <wp:extent cx="19716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ind w:left="3460"/>
        <w:spacing w:after="0" w:line="232" w:lineRule="auto"/>
        <w:tabs>
          <w:tab w:leader="none" w:pos="4300" w:val="left"/>
          <w:tab w:leader="none" w:pos="5120" w:val="left"/>
          <w:tab w:leader="none" w:pos="596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7620</wp:posOffset>
            </wp:positionV>
            <wp:extent cx="20059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ind w:left="38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rPr>
          <w:sz w:val="20"/>
          <w:szCs w:val="20"/>
          <w:color w:val="auto"/>
        </w:rPr>
      </w:pPr>
      <w:r>
        <w:rPr>
          <w:rFonts w:ascii="Times New Roman" w:cs="Times New Roman" w:eastAsia="Times New Roman" w:hAnsi="Times New Roman"/>
          <w:sz w:val="14"/>
          <w:szCs w:val="14"/>
          <w:b w:val="1"/>
          <w:bCs w:val="1"/>
          <w:color w:val="auto"/>
        </w:rPr>
        <w:t>(in thousands of US$, except for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-3175</wp:posOffset>
            </wp:positionV>
            <wp:extent cx="2005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05965"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-97155</wp:posOffset>
            </wp:positionV>
            <wp:extent cx="20059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ind w:left="20"/>
        <w:spacing w:after="0" w:line="232" w:lineRule="auto"/>
        <w:tabs>
          <w:tab w:leader="none" w:pos="840" w:val="left"/>
          <w:tab w:leader="none" w:pos="1680" w:val="left"/>
          <w:tab w:leader="none" w:pos="256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w:t>
      </w:r>
    </w:p>
    <w:p>
      <w:pPr>
        <w:spacing w:after="0" w:line="1" w:lineRule="exact"/>
        <w:rPr>
          <w:sz w:val="20"/>
          <w:szCs w:val="20"/>
          <w:color w:val="auto"/>
        </w:rPr>
      </w:pPr>
    </w:p>
    <w:p>
      <w:pPr>
        <w:sectPr>
          <w:pgSz w:w="11900" w:h="16838" w:orient="portrait"/>
          <w:cols w:equalWidth="0" w:num="2">
            <w:col w:w="6180" w:space="620"/>
            <w:col w:w="3120"/>
          </w:cols>
          <w:pgMar w:left="980" w:top="661" w:right="99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4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26.8 % $ 13,926</w:t>
            </w:r>
          </w:p>
        </w:tc>
        <w:tc>
          <w:tcPr>
            <w:tcW w:w="16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30.3 % $ 15,639</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$ 37,920</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$ 44,830</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selling and marketing expenses, research and development expenses, and general and administrative expenses include share-based compensation expenses of $0.3 million and $0.2 million for the three months ended September 30, 2024 and 2025, respectively</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and $1.6 million and $0.5 million for the nine months ended September 30, 2024 and 2025, respectively</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primarily of salaries, benefits and commissions for our sales and marketing personnel, online advertising, and other advertising and promotion expenses. Our selling and marketing expenses may increase in the near term if we increase our headcount or promotion expenses for our SaaS businesses.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benefits for research and development personnel. Our research and development expenses may increase in the near term on an absolute basis as we intend to hire additional research and development personnel to develop new features for our various SaaS services, invest in new SaaS products and services, improve the customer experience, and further improve our technology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benefits for our general and administrative personnel, fees and expenses for third-party professional services. Our general and administrative expenses may increase in the future on an absolute basis as our SaaS businesses grow.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2025 and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unaudited consolidated results of operations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7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0" w:type="dxa"/>
            <w:vAlign w:val="bottom"/>
          </w:tcPr>
          <w:p>
            <w:pPr>
              <w:spacing w:after="0"/>
              <w:rPr>
                <w:sz w:val="15"/>
                <w:szCs w:val="15"/>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4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14,851</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benefits (expenses) and income (loss) in equity</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method investments and non-controlling interest, net of</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4"/>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on and income (loss) in equity method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net of tax</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business has evolved rapidly in recent years. We believe that historical period-to-period comparisons of our results of operations may not be indicative of future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with Three Months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revenues increased by 22.2% from $16.7 million for the three months ended September 30, 2024 to $20.4 million for the same period in 2025. This increase was primarily due to the increase in revenue from our SaaS businesses.</w:t>
      </w:r>
    </w:p>
    <w:p>
      <w:pPr>
        <w:spacing w:after="0" w:line="160" w:lineRule="exact"/>
        <w:rPr>
          <w:sz w:val="20"/>
          <w:szCs w:val="20"/>
          <w:color w:val="auto"/>
        </w:rPr>
      </w:pPr>
    </w:p>
    <w:p>
      <w:pPr>
        <w:jc w:val="both"/>
        <w:ind w:left="680" w:hanging="321"/>
        <w:spacing w:after="0" w:line="25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Services</w:t>
      </w:r>
      <w:r>
        <w:rPr>
          <w:rFonts w:ascii="Times New Roman" w:cs="Times New Roman" w:eastAsia="Times New Roman" w:hAnsi="Times New Roman"/>
          <w:sz w:val="18"/>
          <w:szCs w:val="18"/>
          <w:color w:val="auto"/>
        </w:rPr>
        <w:t>. Our revenue from subscription services increased by 20.9% from $15.3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to $18.5 million for the same period in 2025. The increase was driven by expanded Trucker Path subscriber base and continued growth in Lofty enterprise account base. The Company’s paying subscriptions as of September 30, 2025 for Trucker Path increased to 152,000, by 26%, compared to September 30, 2024 paying subscriptions of 120,500. The Company’s paying subscriptions as of September 30, 2025 for Lofty decreased to 3,900, by 5%, compared to September 30, 2024 paying subscriptions of 4,100. Purchased seats for Lofty, defined as eligible users on a paid subscription, increased to 87,600 as of September 30, 2025 from 82,300 as of September 30, 2024, an increase of 6%.</w:t>
      </w:r>
    </w:p>
    <w:p>
      <w:pPr>
        <w:spacing w:after="0" w:line="182"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Services. </w:t>
      </w:r>
      <w:r>
        <w:rPr>
          <w:rFonts w:ascii="Times New Roman" w:cs="Times New Roman" w:eastAsia="Times New Roman" w:hAnsi="Times New Roman"/>
          <w:sz w:val="18"/>
          <w:szCs w:val="18"/>
          <w:color w:val="auto"/>
        </w:rPr>
        <w:t>Our revenue from advertising services increased by 12.5% from $0.8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to $0.9 million for the same period in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29.3% from $4.1 million for the three months ended September 30, 2024 to $5.3 million for the same period in 2025. This increase was primarily due to the increase of software expenses directly related to the cloud hosting services which provide a better user experience and the expansion of lower margin Lofty SaaS businesses.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gross margin decreased 1.6% from 75.7% for the three months ended September 30, 2024 to 74.1% for the same period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increase in cost of service features provided within our real estate SaaS platform.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operating expenses increased by 25.8% from $13.2 million for the three months ended September 30, 2024 to $16.6 million for the same period in 2025, primarily due to the increase of research and development expenses and general and administrative expenses.</w:t>
      </w:r>
    </w:p>
    <w:p>
      <w:pPr>
        <w:spacing w:after="0" w:line="160" w:lineRule="exact"/>
        <w:rPr>
          <w:sz w:val="20"/>
          <w:szCs w:val="20"/>
          <w:color w:val="auto"/>
        </w:rPr>
      </w:pPr>
    </w:p>
    <w:p>
      <w:pPr>
        <w:jc w:val="both"/>
        <w:ind w:left="680" w:hanging="321"/>
        <w:spacing w:after="0" w:line="26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Our selling and marketing expenses increased by 10.0% from $5.0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to $5.5 million for the same period in 2025. This increase was primarily due to increase in headcount and higher advertising and marketing expenses.</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increased by 39.6% from $4.8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2024 to $6.7 million for the same period in 2025. This increase was primarily due to an increase in our research and development headcount for new projects, primarily in low cost countries.</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increased by 28.6% from $3.5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2024 to $4.5 million for the same period in 2025. The increase was primarily due to an increase in legal and accounting fees for the Offer.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from fair value change of a long-term investment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from fair value change of a long-term investment was nil for the three months ended September 30, 2025, compared with $0.1 million for the same period in 2024. The gain from fair value change of a long-term investment represents the unrealized gain from increase in quoted market price of ordinary shares of Kaixin, which is accounted for as an equity investment with readily determinable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with Nine Months Ended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revenues increased by 25.4% from $46.0 million for the nine months ended September 30, 2024 to $57.7 million for the same period in 2025. This increase was primarily due to the increase in revenue from our SaaS businesses.</w:t>
      </w:r>
    </w:p>
    <w:p>
      <w:pPr>
        <w:spacing w:after="0" w:line="160" w:lineRule="exact"/>
        <w:rPr>
          <w:sz w:val="20"/>
          <w:szCs w:val="20"/>
          <w:color w:val="auto"/>
        </w:rPr>
      </w:pPr>
    </w:p>
    <w:p>
      <w:pPr>
        <w:jc w:val="both"/>
        <w:ind w:left="680" w:hanging="321"/>
        <w:spacing w:after="0" w:line="25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Subscription Services. </w:t>
      </w:r>
      <w:r>
        <w:rPr>
          <w:rFonts w:ascii="Times New Roman" w:cs="Times New Roman" w:eastAsia="Times New Roman" w:hAnsi="Times New Roman"/>
          <w:sz w:val="18"/>
          <w:szCs w:val="18"/>
          <w:color w:val="auto"/>
        </w:rPr>
        <w:t>Our revenue from subscription services increased by 22.5% from $42.7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to $52.3 million for the same period in 2025. The increase was primarily due to the expansion of our SaaS businesses. The Company’s paying account subscriptions as of September 30, 2025 for Trucker Path increased to 152,000, by 26%, compared to September 30, 2024 paying subscriptions of 120,500. The Company’s paying account subscriptions as of September 30, 2025 for Lofty decreased to 3,900, by 5%, compared to September 30, 2024 paying subscriptions of 4,100. Purchased seats for Lofty, defined as eligible users on a paid subscription, increased to 87,600 as of September 30, 2025 from 82,300 as of September 30, 2024, an increase of 6%.</w:t>
      </w:r>
    </w:p>
    <w:p>
      <w:pPr>
        <w:spacing w:after="0" w:line="182"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Services. </w:t>
      </w:r>
      <w:r>
        <w:rPr>
          <w:rFonts w:ascii="Times New Roman" w:cs="Times New Roman" w:eastAsia="Times New Roman" w:hAnsi="Times New Roman"/>
          <w:sz w:val="18"/>
          <w:szCs w:val="18"/>
          <w:color w:val="auto"/>
        </w:rPr>
        <w:t>Our revenue from advertising services were $2.4 million and $2.5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and 2025,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36.7% from $10.9 million for the nine months ended September 30, 2024 to $14.9 million for the same period in 2025. This increase was primarily due to the increase of software expenses directly related to the generation of revenue and cloud hosting services to provide a better user experience and grow our SaaS businesses.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gross margin decreased by 2.1% from 76.4% for the nine months ended September 30, 2024 to 74.3% for the same period in 2025. The decrease was primarily due to increase in cost of service features provided within our real estate SaaS platforms.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operating expenses increased by 18.2% from $37.9 million for the nine months ended September 30, 2024 to $44.8 million for the same period in 2025, primarily due to increase of research and development expenses and selling and marketing expenses.</w:t>
      </w:r>
    </w:p>
    <w:p>
      <w:pPr>
        <w:spacing w:after="0" w:line="160" w:lineRule="exact"/>
        <w:rPr>
          <w:sz w:val="20"/>
          <w:szCs w:val="20"/>
          <w:color w:val="auto"/>
        </w:rPr>
      </w:pPr>
    </w:p>
    <w:p>
      <w:pPr>
        <w:jc w:val="both"/>
        <w:ind w:left="680" w:right="20" w:hanging="321"/>
        <w:spacing w:after="0" w:line="26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Our selling and marketing expenses increased by 12.2% from $13.9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to $15.6 million for the same period in 2025. This increase was primarily due to increase in headcount.</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increased by 34.1% from $13.8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to $18.5 million for the same period in 2025. This increase was primarily due to an increase in our research and development headcount for new projects, and partially offset by reduced share-based compensation expenses, which was substantially fully vested in fiscal year 2024.</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increased by 7.0% from $10.0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to $10.7 million for the same period in 2025. The increase was primarily due to increasing legal and accounting fees for the Offer, higher payroll expenses due to increased headcount, and partially offset by lower share-based compensation expenses.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of intangible asset. </w:t>
      </w:r>
      <w:r>
        <w:rPr>
          <w:rFonts w:ascii="Times New Roman" w:cs="Times New Roman" w:eastAsia="Times New Roman" w:hAnsi="Times New Roman"/>
          <w:sz w:val="18"/>
          <w:szCs w:val="18"/>
          <w:color w:val="auto"/>
        </w:rPr>
        <w:t>Our impairment of intangible asset decreased from $0.2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to nil for the same period in 2025. The impairment loss in 2024 was due to impairment of the technology platform of LoftyWorks.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fair value change of a long-term investment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Loss from fair value change of a long-term investment was $0.03 million for the nine months ended September 30, 2025, compared to $1.5 million for the same period in 2024. The loss from fair value change of a long-term investment represents the unrealized loss from reduction in quoted market price of ordinary shares of Kaixin, which is accounted for as an equity investment with readily determinable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Operations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engaged in providing SaaS platforms to customers primarily located in the United States. We operate in two reportable segments: Lofty and Trucker Path. We define our segments as those operations whose results the chief operating decision maker regularly reviews to analyze performance and allocate resources. We sell similar platform services in each of our segments, it is impracticable to segregate and identify revenues for each of these individual products and services.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Lofty segment includes our all-in-one real estate sales acceleration and client lifecycle management platform. The Trucker Path segment includes our driver-centric online transportation management platform. Our operating structure also includes Corporate, which is a center focusing on strategic initiatives, policy, governance and the scaling of global operations, and a platform services organization supporting operating units, global marketing category leadership teams and the center by providing efficient and scaled global services and capabilities, including, but not limited to, transactional work, data management, consumer analytics, digital commerce and social/digital hubs.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measure the results of our segments using revenue and cost of sales. Information for our segments and Corporate for the three and nine months ended September 30, 2024 and 2025, is provided in the following table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Lofty</w:t>
            </w:r>
          </w:p>
        </w:tc>
        <w:tc>
          <w:tcPr>
            <w:tcW w:w="16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Trucker Path</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 Corporate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3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27,821</w:t>
            </w:r>
          </w:p>
        </w:tc>
        <w:tc>
          <w:tcPr>
            <w:tcW w:w="1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23,367</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3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details, please refer to Note 11 of Notes to Condensed Consolidated Financial Statements for additional information about our segment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we will continue as a going concern, which contemplates the realization of assets and the settlement of liabilities in the normal course of business. As of September 30, 2025, we had net current assets (current assets less current liabilities) of $14.6 million. For the three months ended September 30, 2024 and 2025, we incurred loss from operations amounting to $0.6 million and $1.5 million; for the nine months ended September 30, 2024 and 2025, we incurred loss from operations amounting to $2.8 million and $2.0 million, and positive cash flows of $1.7 million and negative cash flows of $2.0 million from operating activities, respectively.</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continue as a going concern is dependent on our ability to generate cash flows from operations, and to make adequate financing arrangements. We had cash and cash equivalents of $22.0 million, excluding restricted cash of $9.9 million as of September 30, 2025. The cash reserve is expected to meet our operating needs for at least the next twelve months from the date of this Quarterly Report on Form 10-Q.</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cash flows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1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5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28"/>
        </w:trPr>
        <w:tc>
          <w:tcPr>
            <w:tcW w:w="586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3100" w:type="dxa"/>
            <w:vAlign w:val="bottom"/>
            <w:tcBorders>
              <w:bottom w:val="single" w:sz="8" w:color="auto"/>
            </w:tcBorders>
            <w:gridSpan w:val="5"/>
          </w:tcPr>
          <w:p>
            <w:pPr>
              <w:jc w:val="right"/>
              <w:ind w:right="452"/>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 of US$)</w:t>
            </w:r>
          </w:p>
        </w:tc>
        <w:tc>
          <w:tcPr>
            <w:tcW w:w="20" w:type="dxa"/>
            <w:vAlign w:val="bottom"/>
          </w:tcPr>
          <w:p>
            <w:pPr>
              <w:spacing w:after="0"/>
              <w:rPr>
                <w:sz w:val="11"/>
                <w:szCs w:val="1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(2,975)</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 and restricted cash</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the beginning of the period</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38,969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31,922</w:t>
            </w:r>
          </w:p>
        </w:tc>
        <w:tc>
          <w:tcPr>
            <w:tcW w:w="2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18"/>
                <w:szCs w:val="18"/>
                <w:color w:val="auto"/>
              </w:rPr>
            </w:pPr>
          </w:p>
        </w:tc>
      </w:tr>
      <w:tr>
        <w:trPr>
          <w:trHeight w:val="209"/>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38,378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31,994</w:t>
            </w:r>
          </w:p>
        </w:tc>
        <w:tc>
          <w:tcPr>
            <w:tcW w:w="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$2.0 million for the nine months ended September 30, 2025, compared to net cash provided by $1.7 million for the same period in 2024. The principal adjustments to reconcile our net loss to our net cash used in operating activities were $0.5 million of share-based compensation expense, $0.5 million of amortization of the right-of-use assets and $0.5 million of depreciation and amortization. The principal change in operating assets and liabilities accounting for the difference between our net loss and our net cash used in operating activities for the nine months ended September 30, 2025 was an increase in accounts receivable of $1.6 million, a decrease in accounts payable of $0.7 million, a decrease in operating lease liabilities of $0.6 million and a decrease in income tax payable of $0.4 million, partially offset by an increase in accrued expenses and other current liabilities of $2.3 million.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$1.7 million for the nine months ended September 30, 2024, compared to net cash used in $4.6 million for the same period in 2023. The principal adjustments to reconcile our net loss to our net cash used in operating activities were share-based compensation expense, fair value change on long-term investment and provision for credit losses, and partially offset by reversal of aged other payables and release of tax liabilities. The principal change in operating assets and liabilities accounting for the difference between our net loss and our net cash provided by operating activities for the nine months ended September 30, 2024 was an increase in accrued expenses and other current liabilities of $2.7 million, and partially offset by an increase in account receivable of $1.1 million.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was $3.2 million for the nine months ended September 30, 2025, compared to net cash used in $3.0 million for the same period in 2024. Net cash provided by investing activities for the nine months ended September 30, 2025 was due to $5.0 million for redemption of short-term investments and partially offset by $1.0 million for the payment for acquisition of a subsidiary, net of cash acquired, $0.7 million to purchase a domain name and $0.2 million to purchase computers and furniture. Net cash used in investing activities for the nine months ended September 30, 2024 was due to $2.7 million for the payment for acquisition of a subsidiary, net of cash acquired.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$1.5 million for the nine months ended September 30, 2025, compared to net cash provided by $0.9 million for the same period in 2024. Net cash used in financing activities for the nine months ended September 30, 2025 was primarily due to $11.1 million of special cash dividends to ordinary shares, partially offset by proceeds from borrowings of $9.75 million for the Offer. Net cash provided by financing activities for the nine months ended September 30, 2024 was primarily due to proceeds of $1.0 million from exercise of share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contractual obligations including interest payment, if applicable, as of September 30, 2025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Pr>
          <w:p>
            <w:pPr>
              <w:jc w:val="right"/>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200" w:type="dxa"/>
            <w:vAlign w:val="bottom"/>
          </w:tcPr>
          <w:p>
            <w:pPr>
              <w:spacing w:after="0"/>
              <w:rPr>
                <w:sz w:val="10"/>
                <w:szCs w:val="10"/>
                <w:color w:val="auto"/>
              </w:rPr>
            </w:pPr>
          </w:p>
        </w:tc>
        <w:tc>
          <w:tcPr>
            <w:tcW w:w="14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Operating lease obligations </w:t>
            </w:r>
            <w:r>
              <w:rPr>
                <w:rFonts w:ascii="Times New Roman" w:cs="Times New Roman" w:eastAsia="Times New Roman" w:hAnsi="Times New Roman"/>
                <w:sz w:val="24"/>
                <w:szCs w:val="24"/>
                <w:color w:val="auto"/>
                <w:vertAlign w:val="superscript"/>
              </w:rPr>
              <w:t>(1)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Contingent earn-out consideration </w:t>
            </w:r>
            <w:r>
              <w:rPr>
                <w:rFonts w:ascii="Times New Roman" w:cs="Times New Roman" w:eastAsia="Times New Roman" w:hAnsi="Times New Roman"/>
                <w:sz w:val="25"/>
                <w:szCs w:val="25"/>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4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We lease facilities and offices under non-cancelable operating lease agreements.</w:t>
      </w:r>
    </w:p>
    <w:p>
      <w:pPr>
        <w:spacing w:after="0" w:line="197" w:lineRule="exact"/>
        <w:rPr>
          <w:rFonts w:ascii="Times New Roman" w:cs="Times New Roman" w:eastAsia="Times New Roman" w:hAnsi="Times New Roman"/>
          <w:sz w:val="27"/>
          <w:szCs w:val="27"/>
          <w:color w:val="auto"/>
          <w:vertAlign w:val="superscript"/>
        </w:rPr>
      </w:pPr>
    </w:p>
    <w:p>
      <w:pPr>
        <w:ind w:left="340" w:right="20" w:hanging="332"/>
        <w:spacing w:after="0" w:line="208" w:lineRule="auto"/>
        <w:tabs>
          <w:tab w:leader="none" w:pos="34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Maximum amount of contingent earn-out consideration payable over the next two years associated with our acquisition of TBI on May 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made capital expenditures of $0.3 million and $0.9 million for the nine months ended September 30, 2024 and 2025, respectively. Our capital expenditures for the nine months ended September 30, 2025 were primarily used for the purchase of a domain name, computers and furniture. Capital expenditures for the nine months ended September 30, 2024 were primarily used for the purchase of the computers.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Patents, and Licenses, etc.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efforts focus on developing and improving the scalability, features and functions of our SaaS services, including the compilation and use of data to increase automation of our services and enhance the customer experience. We have a large team of approximately 400 engineers and developers as of September 30, 2025, accounting for approximately 58% of our employees as of that date. Most of our engineers and developers are based at our subsidiary offices in China.</w:t>
      </w:r>
    </w:p>
    <w:p>
      <w:pPr>
        <w:spacing w:after="0" w:line="1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research and development personnel support all areas of our business, mainly focusing on the improvement and enhancement of our SaaS businesses, Lofty and Trucker Path. Our research and development personnel also focus on enhancing the user experience through commonly used user interfaces, including mobile apps, and ensuring our products are fully compatible with the latest mobile operating systems such as iOS, Android, and Windows. In 2024, with the acquisition of TLP by Lofty, we expect to increasingly invest in developing Lofty products to serve property managers and landlords. We periodically shift the priorities of our research and development personnel to ensure we continually develop new products and services to extend our customer reach and meet the needs of our user base and customers.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primarily include salaries and benefits for our research and development personnel. We incurred US$13.8 million and US$18.5 million of research and development expenses for the nine months ended September 30, 2024 and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intellectual property includes trademarks and trademark applications related to our brands and services, trade secrets, and other intellectual property rights and licenses. We seek to protect our intellectual property assets and brand through a combination of monitoring and enforcement of trademark and trade secret protection laws in the US, PRC, and other jurisdictions, as well as through confidentiality agreements and procedures.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77 trademarks and one copyright as of September 30, 2025. Our employees sign confidentiality and non-compete agreements when hired.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 Information</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Quarterly Report on Form 10-Q, we are not aware of any trends, uncertainties, demands, commitments or events for the nine months ended September 30, 2025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Part II, Item 7, “Critical Accounting Policies and Estimates” of our Annual Report on Form 10-K for the fiscal year ended December 31, 2024. There have been no material changes to our Critical Accounting Policies and Estimates disclosed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we are not required to provide the information specified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 13a-15 under the Exchange Act of 1934, as of the end of the period covered by this Quarterly Report on Form 10-Q. Disclosure controls and procedures are designed to ensure that information required to be disclosed by us in the reports that we file or submit under the Exchange Act is recorded, processed, summarized, and reported within the time periods specified in by the SEC’s rules and forms, and that information required to be disclosed by us in the reports that we file or submit under</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Exchange Act is accumulated and communicated to our management, including our chief executive officer and chief financial officer, as appropriate, to allow timely decisions regarding required disclosure.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September 30, 2025, our disclosure controls and procedures were not effective, due to the three material weaknesses in our internal control over financial reporting as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our management identified three material weaknesses in our internal control over financial reporting, which remain unremediated as of September 30, 2025, as follows:</w:t>
      </w:r>
    </w:p>
    <w:p>
      <w:pPr>
        <w:spacing w:after="0" w:line="121" w:lineRule="exact"/>
        <w:rPr>
          <w:sz w:val="20"/>
          <w:szCs w:val="20"/>
          <w:color w:val="auto"/>
        </w:rPr>
      </w:pPr>
    </w:p>
    <w:p>
      <w:pPr>
        <w:jc w:val="both"/>
        <w:ind w:left="68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integrated and systematic risk assessment and reporting process to identify and assess the financial reporting risks and to ensure significant transactions including investments and non-routine transactions including share-based transactions are accurately recorded and properly disclosed; and</w:t>
      </w:r>
    </w:p>
    <w:p>
      <w:pPr>
        <w:spacing w:after="0" w:line="13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evaluation in the process of assessing applicability of sales tax to our SaaS revenue products which resulted in an understated sales tax accrual; and</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evaluations to ascertain whether the components of internal control are present and functioning.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Remediation Plans and Actions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remediate the material weaknesses described above in “Material Weaknesses in Internal Control over Financial Reporting,” we are implementing the plan and measures described below. We will continue to evaluate and, may in the future, implement additional measures.</w:t>
      </w:r>
    </w:p>
    <w:p>
      <w:pPr>
        <w:spacing w:after="0" w:line="149" w:lineRule="exact"/>
        <w:rPr>
          <w:sz w:val="20"/>
          <w:szCs w:val="20"/>
          <w:color w:val="auto"/>
        </w:rPr>
      </w:pPr>
    </w:p>
    <w:p>
      <w:pPr>
        <w:jc w:val="both"/>
        <w:ind w:left="680" w:hanging="321"/>
        <w:spacing w:after="0" w:line="26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recruited personnel with the requisite knowledge in accounting and disclosure requirements for complex transactions under U.S. GAAP and statutory compliance. Where needed, we have engaged external parties with the expertise to evaluate and advise the company on complex or evolving areas such as public company filings, taxation, and valuation services.</w:t>
      </w:r>
    </w:p>
    <w:p>
      <w:pPr>
        <w:spacing w:after="0" w:line="13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 control environment, which allows management to monitor the effectiveness of internal controls over financial reporting and address gaps identified within the environment.</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 consolidated general ledger within a single enterprise resource planning application for all legal entities, which includes consolidation and statutory reporting capabilities.</w:t>
      </w:r>
    </w:p>
    <w:p>
      <w:pPr>
        <w:spacing w:after="0" w:line="13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design and implement evaluation policies and procedures to ensure internal control components are present and functioning.</w:t>
      </w:r>
    </w:p>
    <w:p>
      <w:pPr>
        <w:spacing w:after="0" w:line="12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improve the internal approval processes and implement the proper level of management review for each new grant. We will enhance communication between the human resources department and accounting department to ensure proper information sharing about new grants.</w:t>
      </w:r>
    </w:p>
    <w:p>
      <w:pPr>
        <w:spacing w:after="0" w:line="13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experts to review and ensure completeness and accuracy of sales tax accrual and will design and implement a sales tax compliance system to ensure timely and accurate sales tax reporting.</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taking the steps necessary for remediation of the material weaknesses identified above, and we will continue to monitor the effectiveness of these steps and to make any changes that our management deems appropriate.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there were no other changes in our internal control over financial reporting during the nine months ended September 30, 2025 that have materially affected or are reasonable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disclosure controls and procedures or internal control over financial reporting will prevent or detect all errors and all fraud. A control system cannot provide absolute assurance due to its inherent limitations; it is a process that involves human diligence and compliance and is subject to lapses in judgment and breakdowns resulting from human failures. A control system also can be circumvented by collusion or improper management override. Further, the design of a control system must reflect the fact that there are resource constraints, and the benefits of controls must be considered relative to their costs. Because of such limitations, disclosure controls and procedures and internal control over financial reporting cannot prevent or detect all misstatements, whether unintentional errors or fraud.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may become party to litigation or other legal proceedings that we consider to be part of the ordinary course of business.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and we are not aware of any pending or threatened legal proceedings against us that could reasonably be expected to have a material adverse effect on our business,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Item 1A. “Risk Factors” in our Annual Report on Form 10-K for the fiscal year ended December 31, 2024, which could materially affect our business, financial condition or future results. Except as set forth below, there have been no material changes to the risk factors disclosed in Item 1A. “Risk Factors” in our Annual Report on Form 10-K for the fiscal year ended December 31, 2024.</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voluntarily suspend our reporting obligations under the Securities Exchange Act of 1934, as amended (the “Exchange Act”). We have determined to suspend our reporting obligations under the Exchange Act and expect to suspend such reporting soon after the filing of this Quarterly Report on Form 10-Q.</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noted in the Offer to Purchase dated September 3, 2025, as supplemented, for our tender offer (the “Offer”) for our Class A ordinary shares (including Class A ordinary shares represented by ADSs), our Class A ordinary shares and ADSs are held of record by less than 300 persons. As a result, we are eligible to voluntarily suspend our reporting obligations under the Exchange Act. We have determined to suspend our reporting obligations under the Exchange Act and expect to suspend such reporting soon after the filing of this Quarterly Report on Form 10-Q. We intend to file a Form 15 with the Securities and Exchange Commission soon after the filing of this Quarterly Report on Form 10-Q, at which time we anticipate that our obligation to file periodic reports under the Exchange Act, including annual reports on Form 10-K, quarterly reports on Form 10-Q, and current reports on Form 8-K will be suspended, and that all requirements associated with being an Exchange Act-registered company, including the requirement to file current and periodic reports, will terminate 90 days thereafter. Accordingly, there will be significantly less information regarding us available to shareholders and potential investors.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such suspension of reporting obligations, it could become more difficult to dispose of, or obtain accurate price quotations for, our ordinary shares and/or ADSs, and there would likely also be a reduction in our coverage by securities analysts and the news media, which could cause the price of our ordinary shares to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7, 2022, the Company’s Board of Directors (the “Board”) authorized the repurchase of up to an aggregate of $10.0 million of the Company’s Class A ordinary shares, par value $0.001 per share, to be executed from time to time in open market transactions effected through a broker at prevailing market prices under ordinary principles of best execution within one year after commencement (the “Stock Repurchase Program”). The Stock Repurchase Program took effect on January 16, 2023. On October 13, 2023, the Board approved an extension and extra funding of the existing Stock Repurchase Program whereby the expiration date was extended to December 31, 2024 and the authorized repurchase amount was increased from $10.0 million to $15.0 million. On November 1, 2024, the Board approved an extension of the existing Stock Repurchase Program until December 31,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the Company’s repurchases of ADSs (each representing 45 of our Class A ordinary shares) during the quarter ended September 30,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140" w:type="dxa"/>
            <w:vAlign w:val="bottom"/>
          </w:tcPr>
          <w:p>
            <w:pPr>
              <w:spacing w:after="0"/>
              <w:rPr>
                <w:sz w:val="13"/>
                <w:szCs w:val="13"/>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of ADSs That</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4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ADSs That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ADSs Purchased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the Programs</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Periods</w:t>
            </w: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July 2025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August 2025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3, 2025, we commenced a cash tender offer to repurchase up to 225,000,000 Class A ordinary shares, including Class A ordinary shares represented by ADSs, at a price of $3.00/45 per Class A ordinary share (or $3.00 per ADS) (such cash tender offer, the “Offer”). On October 3, 2025, we announced the final results of the Offer. A total of 85,065,660 Class A ordinary shares (including Class A ordinary shares represented by ADSs) were validly tendered and accepted for purchase for an aggregate consideration of approximately $5.7 million, excluding related fees and expenses. The repurchased shares represented approximately 13.0% of our outstanding Class A ordinary shares and 10.3% of our total share capital at that time. Payment for the accepted shares was made on October 6, 2025.</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repurchases of our Class A ordinary shares (including Class A ordinary shares represented by ADSs) effectuated under Company tender offers during the three months ended September 30,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 Shares</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Accepted for</w:t>
            </w:r>
          </w:p>
        </w:tc>
        <w:tc>
          <w:tcPr>
            <w:tcW w:w="0" w:type="dxa"/>
            <w:vAlign w:val="bottom"/>
          </w:tcPr>
          <w:p>
            <w:pPr>
              <w:spacing w:after="0"/>
              <w:rPr>
                <w:sz w:val="1"/>
                <w:szCs w:val="1"/>
                <w:color w:val="auto"/>
              </w:rPr>
            </w:pPr>
          </w:p>
        </w:tc>
      </w:tr>
      <w:tr>
        <w:trPr>
          <w:trHeight w:val="148"/>
        </w:trPr>
        <w:tc>
          <w:tcPr>
            <w:tcW w:w="12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Offer Date</w:t>
            </w:r>
          </w:p>
        </w:tc>
        <w:tc>
          <w:tcPr>
            <w:tcW w:w="160" w:type="dxa"/>
            <w:vAlign w:val="bottom"/>
          </w:tcPr>
          <w:p>
            <w:pPr>
              <w:spacing w:after="0"/>
              <w:rPr>
                <w:sz w:val="12"/>
                <w:szCs w:val="12"/>
                <w:color w:val="auto"/>
              </w:rPr>
            </w:pPr>
          </w:p>
        </w:tc>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Tender Offer Expiration</w:t>
            </w:r>
          </w:p>
        </w:tc>
        <w:tc>
          <w:tcPr>
            <w:tcW w:w="140" w:type="dxa"/>
            <w:vAlign w:val="bottom"/>
          </w:tcPr>
          <w:p>
            <w:pPr>
              <w:spacing w:after="0"/>
              <w:rPr>
                <w:sz w:val="12"/>
                <w:szCs w:val="12"/>
                <w:color w:val="auto"/>
              </w:rPr>
            </w:pPr>
          </w:p>
        </w:tc>
        <w:tc>
          <w:tcPr>
            <w:tcW w:w="330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Purchase Price per Share</w:t>
            </w:r>
          </w:p>
        </w:tc>
        <w:tc>
          <w:tcPr>
            <w:tcW w:w="140" w:type="dxa"/>
            <w:vAlign w:val="bottom"/>
          </w:tcPr>
          <w:p>
            <w:pPr>
              <w:spacing w:after="0"/>
              <w:rPr>
                <w:sz w:val="12"/>
                <w:szCs w:val="12"/>
                <w:color w:val="auto"/>
              </w:rPr>
            </w:pPr>
          </w:p>
        </w:tc>
        <w:tc>
          <w:tcPr>
            <w:tcW w:w="21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0" w:type="dxa"/>
            <w:vAlign w:val="bottom"/>
          </w:tcPr>
          <w:p>
            <w:pPr>
              <w:spacing w:after="0"/>
              <w:rPr>
                <w:sz w:val="1"/>
                <w:szCs w:val="1"/>
                <w:color w:val="auto"/>
              </w:rPr>
            </w:pPr>
          </w:p>
        </w:tc>
      </w:tr>
      <w:tr>
        <w:trPr>
          <w:trHeight w:val="173"/>
        </w:trPr>
        <w:tc>
          <w:tcPr>
            <w:tcW w:w="12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3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1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September 3, 2025</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4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$3.00/45 per Class A ordinary share (or $3.00 per ADS)</w:t>
            </w:r>
          </w:p>
        </w:tc>
        <w:tc>
          <w:tcPr>
            <w:tcW w:w="1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85,065,660 Class A ordinary shares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5,671</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none of our company’s officers or directors adopted or terminated any “Rule 10b5-1 trading arrangement” or any “non-Rule 10b5-1 trading arrangement,” as each term is defined in Item 408 of Regulation S-K.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EXHIBIT INDEX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 Furnished</w:t>
            </w:r>
          </w:p>
        </w:tc>
      </w:tr>
      <w:tr>
        <w:trPr>
          <w:trHeight w:val="202"/>
        </w:trPr>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20" w:type="dxa"/>
            <w:vAlign w:val="bottom"/>
          </w:tcPr>
          <w:p>
            <w:pPr>
              <w:spacing w:after="0"/>
              <w:rPr>
                <w:sz w:val="17"/>
                <w:szCs w:val="17"/>
                <w:color w:val="auto"/>
              </w:rPr>
            </w:pPr>
          </w:p>
        </w:tc>
        <w:tc>
          <w:tcPr>
            <w:tcW w:w="36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8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Herewith</w:t>
            </w:r>
          </w:p>
        </w:tc>
      </w:tr>
      <w:tr>
        <w:trPr>
          <w:trHeight w:val="35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24"/>
                <w:szCs w:val="24"/>
                <w:color w:val="auto"/>
              </w:rPr>
            </w:pPr>
          </w:p>
        </w:tc>
        <w:tc>
          <w:tcPr>
            <w:tcW w:w="356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rPr>
            </w:pPr>
            <w:hyperlink r:id="rId66">
              <w:r>
                <w:rPr>
                  <w:rFonts w:ascii="Times New Roman" w:cs="Times New Roman" w:eastAsia="Times New Roman" w:hAnsi="Times New Roman"/>
                  <w:sz w:val="16"/>
                  <w:szCs w:val="16"/>
                  <w:color w:val="0000EE"/>
                </w:rPr>
                <w:t>Amended and Restated Memorandum and Articles of</w:t>
              </w:r>
            </w:hyperlink>
          </w:p>
        </w:tc>
        <w:tc>
          <w:tcPr>
            <w:tcW w:w="140" w:type="dxa"/>
            <w:vAlign w:val="bottom"/>
            <w:gridSpan w:val="5"/>
          </w:tcPr>
          <w:p>
            <w:pPr>
              <w:spacing w:after="0"/>
              <w:rPr>
                <w:sz w:val="24"/>
                <w:szCs w:val="24"/>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001-35147</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8/14/2023</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2"/>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11"/>
          </w:tcPr>
          <w:p>
            <w:pPr>
              <w:spacing w:after="0" w:line="183" w:lineRule="exact"/>
              <w:rPr>
                <w:rFonts w:ascii="Times New Roman" w:cs="Times New Roman" w:eastAsia="Times New Roman" w:hAnsi="Times New Roman"/>
                <w:sz w:val="16"/>
                <w:szCs w:val="16"/>
                <w:color w:val="0000EE"/>
              </w:rPr>
            </w:pPr>
            <w:hyperlink r:id="rId66">
              <w:r>
                <w:rPr>
                  <w:rFonts w:ascii="Times New Roman" w:cs="Times New Roman" w:eastAsia="Times New Roman" w:hAnsi="Times New Roman"/>
                  <w:sz w:val="16"/>
                  <w:szCs w:val="16"/>
                  <w:color w:val="0000EE"/>
                </w:rPr>
                <w:t>Association of the Registrant</w:t>
              </w:r>
            </w:hyperlink>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tcPr>
          <w:p>
            <w:pPr>
              <w:spacing w:after="0"/>
              <w:rPr>
                <w:sz w:val="24"/>
                <w:szCs w:val="24"/>
                <w:color w:val="auto"/>
              </w:rPr>
            </w:pPr>
          </w:p>
        </w:tc>
        <w:tc>
          <w:tcPr>
            <w:tcW w:w="360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r:id="rId67">
              <w:r>
                <w:rPr>
                  <w:rFonts w:ascii="Times New Roman" w:cs="Times New Roman" w:eastAsia="Times New Roman" w:hAnsi="Times New Roman"/>
                  <w:sz w:val="16"/>
                  <w:szCs w:val="16"/>
                  <w:color w:val="0000EE"/>
                </w:rPr>
                <w:t>Loan Agreement, dated as of September 11, 2025, by</w:t>
              </w:r>
            </w:hyperlink>
          </w:p>
        </w:tc>
        <w:tc>
          <w:tcPr>
            <w:tcW w:w="100" w:type="dxa"/>
            <w:vAlign w:val="bottom"/>
            <w:gridSpan w:val="3"/>
          </w:tcPr>
          <w:p>
            <w:pPr>
              <w:spacing w:after="0"/>
              <w:rPr>
                <w:sz w:val="24"/>
                <w:szCs w:val="24"/>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001-35147</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9/12/2025</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Borders>
              <w:bottom w:val="single" w:sz="8" w:color="0000EE"/>
            </w:tcBorders>
            <w:gridSpan w:val="8"/>
          </w:tcPr>
          <w:p>
            <w:pPr>
              <w:spacing w:after="0" w:line="183" w:lineRule="exact"/>
              <w:rPr>
                <w:rFonts w:ascii="Times New Roman" w:cs="Times New Roman" w:eastAsia="Times New Roman" w:hAnsi="Times New Roman"/>
                <w:sz w:val="16"/>
                <w:szCs w:val="16"/>
                <w:color w:val="0000EE"/>
              </w:rPr>
            </w:pPr>
            <w:hyperlink r:id="rId67">
              <w:r>
                <w:rPr>
                  <w:rFonts w:ascii="Times New Roman" w:cs="Times New Roman" w:eastAsia="Times New Roman" w:hAnsi="Times New Roman"/>
                  <w:sz w:val="16"/>
                  <w:szCs w:val="16"/>
                  <w:color w:val="0000EE"/>
                </w:rPr>
                <w:t>and among Moatable US Holdco, Inc., Lofty, Inc. and</w:t>
              </w:r>
            </w:hyperlink>
          </w:p>
        </w:tc>
        <w:tc>
          <w:tcPr>
            <w:tcW w:w="10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tcBorders>
              <w:bottom w:val="single" w:sz="8" w:color="0000EE"/>
            </w:tcBorders>
            <w:gridSpan w:val="9"/>
          </w:tcPr>
          <w:p>
            <w:pPr>
              <w:spacing w:after="0" w:line="183" w:lineRule="exact"/>
              <w:rPr>
                <w:rFonts w:ascii="Times New Roman" w:cs="Times New Roman" w:eastAsia="Times New Roman" w:hAnsi="Times New Roman"/>
                <w:sz w:val="16"/>
                <w:szCs w:val="16"/>
                <w:color w:val="0000EE"/>
              </w:rPr>
            </w:pPr>
            <w:hyperlink r:id="rId67">
              <w:r>
                <w:rPr>
                  <w:rFonts w:ascii="Times New Roman" w:cs="Times New Roman" w:eastAsia="Times New Roman" w:hAnsi="Times New Roman"/>
                  <w:sz w:val="16"/>
                  <w:szCs w:val="16"/>
                  <w:color w:val="0000EE"/>
                </w:rPr>
                <w:t>Trucker Path, Inc., as borrowers, and PNC Bank,</w:t>
              </w:r>
            </w:hyperlink>
          </w:p>
        </w:tc>
        <w:tc>
          <w:tcPr>
            <w:tcW w:w="8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11"/>
          </w:tcPr>
          <w:p>
            <w:pPr>
              <w:spacing w:after="0" w:line="183" w:lineRule="exact"/>
              <w:rPr>
                <w:rFonts w:ascii="Times New Roman" w:cs="Times New Roman" w:eastAsia="Times New Roman" w:hAnsi="Times New Roman"/>
                <w:sz w:val="16"/>
                <w:szCs w:val="16"/>
                <w:color w:val="0000EE"/>
              </w:rPr>
            </w:pPr>
            <w:hyperlink r:id="rId67">
              <w:r>
                <w:rPr>
                  <w:rFonts w:ascii="Times New Roman" w:cs="Times New Roman" w:eastAsia="Times New Roman" w:hAnsi="Times New Roman"/>
                  <w:sz w:val="16"/>
                  <w:szCs w:val="16"/>
                  <w:color w:val="0000EE"/>
                </w:rPr>
                <w:t>National Association, as the lender party thereto</w:t>
              </w:r>
            </w:hyperlink>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Pr>
          <w:p>
            <w:pPr>
              <w:spacing w:after="0"/>
              <w:rPr>
                <w:sz w:val="24"/>
                <w:szCs w:val="24"/>
                <w:color w:val="auto"/>
              </w:rPr>
            </w:pPr>
          </w:p>
        </w:tc>
        <w:tc>
          <w:tcPr>
            <w:tcW w:w="354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rPr>
            </w:pPr>
            <w:hyperlink r:id="rId68">
              <w:r>
                <w:rPr>
                  <w:rFonts w:ascii="Times New Roman" w:cs="Times New Roman" w:eastAsia="Times New Roman" w:hAnsi="Times New Roman"/>
                  <w:sz w:val="16"/>
                  <w:szCs w:val="16"/>
                  <w:color w:val="0000EE"/>
                </w:rPr>
                <w:t>Line of Credit Note, dated as of September 11, 2025,</w:t>
              </w:r>
            </w:hyperlink>
          </w:p>
        </w:tc>
        <w:tc>
          <w:tcPr>
            <w:tcW w:w="160" w:type="dxa"/>
            <w:vAlign w:val="bottom"/>
            <w:gridSpan w:val="6"/>
          </w:tcPr>
          <w:p>
            <w:pPr>
              <w:spacing w:after="0"/>
              <w:rPr>
                <w:sz w:val="24"/>
                <w:szCs w:val="24"/>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001-35147</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9/12/2025</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tcBorders>
              <w:bottom w:val="single" w:sz="8" w:color="0000EE"/>
            </w:tcBorders>
            <w:gridSpan w:val="7"/>
          </w:tcPr>
          <w:p>
            <w:pPr>
              <w:spacing w:after="0" w:line="183" w:lineRule="exact"/>
              <w:rPr>
                <w:rFonts w:ascii="Times New Roman" w:cs="Times New Roman" w:eastAsia="Times New Roman" w:hAnsi="Times New Roman"/>
                <w:sz w:val="16"/>
                <w:szCs w:val="16"/>
                <w:color w:val="0000EE"/>
              </w:rPr>
            </w:pPr>
            <w:hyperlink r:id="rId68">
              <w:r>
                <w:rPr>
                  <w:rFonts w:ascii="Times New Roman" w:cs="Times New Roman" w:eastAsia="Times New Roman" w:hAnsi="Times New Roman"/>
                  <w:sz w:val="16"/>
                  <w:szCs w:val="16"/>
                  <w:color w:val="0000EE"/>
                </w:rPr>
                <w:t>by and among Moatable US Holdco, Inc., Lofty, Inc.</w:t>
              </w:r>
            </w:hyperlink>
          </w:p>
        </w:tc>
        <w:tc>
          <w:tcPr>
            <w:tcW w:w="12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40" w:type="dxa"/>
            <w:vAlign w:val="bottom"/>
            <w:tcBorders>
              <w:bottom w:val="single" w:sz="8" w:color="0000EE"/>
            </w:tcBorders>
            <w:gridSpan w:val="5"/>
          </w:tcPr>
          <w:p>
            <w:pPr>
              <w:spacing w:after="0" w:line="183" w:lineRule="exact"/>
              <w:rPr>
                <w:rFonts w:ascii="Times New Roman" w:cs="Times New Roman" w:eastAsia="Times New Roman" w:hAnsi="Times New Roman"/>
                <w:sz w:val="16"/>
                <w:szCs w:val="16"/>
                <w:color w:val="0000EE"/>
              </w:rPr>
            </w:pPr>
            <w:hyperlink r:id="rId68">
              <w:r>
                <w:rPr>
                  <w:rFonts w:ascii="Times New Roman" w:cs="Times New Roman" w:eastAsia="Times New Roman" w:hAnsi="Times New Roman"/>
                  <w:sz w:val="16"/>
                  <w:szCs w:val="16"/>
                  <w:color w:val="0000EE"/>
                </w:rPr>
                <w:t>and Trucker Path, Inc., as borrowers, and PNC Bank,</w:t>
              </w:r>
            </w:hyperlink>
          </w:p>
        </w:tc>
        <w:tc>
          <w:tcPr>
            <w:tcW w:w="160" w:type="dxa"/>
            <w:vAlign w:val="bottom"/>
            <w:gridSpan w:val="6"/>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11"/>
          </w:tcPr>
          <w:p>
            <w:pPr>
              <w:spacing w:after="0" w:line="183" w:lineRule="exact"/>
              <w:rPr>
                <w:rFonts w:ascii="Times New Roman" w:cs="Times New Roman" w:eastAsia="Times New Roman" w:hAnsi="Times New Roman"/>
                <w:sz w:val="16"/>
                <w:szCs w:val="16"/>
                <w:color w:val="0000EE"/>
              </w:rPr>
            </w:pPr>
            <w:hyperlink r:id="rId68">
              <w:r>
                <w:rPr>
                  <w:rFonts w:ascii="Times New Roman" w:cs="Times New Roman" w:eastAsia="Times New Roman" w:hAnsi="Times New Roman"/>
                  <w:sz w:val="16"/>
                  <w:szCs w:val="16"/>
                  <w:color w:val="0000EE"/>
                </w:rPr>
                <w:t>National Association, as the lender party thereto</w:t>
              </w:r>
            </w:hyperlink>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24"/>
                <w:szCs w:val="24"/>
                <w:color w:val="auto"/>
              </w:rPr>
            </w:pPr>
          </w:p>
        </w:tc>
        <w:tc>
          <w:tcPr>
            <w:tcW w:w="360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r:id="rId69">
              <w:r>
                <w:rPr>
                  <w:rFonts w:ascii="Times New Roman" w:cs="Times New Roman" w:eastAsia="Times New Roman" w:hAnsi="Times New Roman"/>
                  <w:sz w:val="16"/>
                  <w:szCs w:val="16"/>
                  <w:color w:val="0000EE"/>
                </w:rPr>
                <w:t>Pledge Agreement, dated as of September 11, 2025,</w:t>
              </w:r>
            </w:hyperlink>
          </w:p>
        </w:tc>
        <w:tc>
          <w:tcPr>
            <w:tcW w:w="100" w:type="dxa"/>
            <w:vAlign w:val="bottom"/>
            <w:gridSpan w:val="3"/>
          </w:tcPr>
          <w:p>
            <w:pPr>
              <w:spacing w:after="0"/>
              <w:rPr>
                <w:sz w:val="24"/>
                <w:szCs w:val="24"/>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001-35147</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9/12/2025</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tcBorders>
              <w:bottom w:val="single" w:sz="8" w:color="0000EE"/>
            </w:tcBorders>
            <w:gridSpan w:val="9"/>
          </w:tcPr>
          <w:p>
            <w:pPr>
              <w:spacing w:after="0" w:line="183" w:lineRule="exact"/>
              <w:rPr>
                <w:rFonts w:ascii="Times New Roman" w:cs="Times New Roman" w:eastAsia="Times New Roman" w:hAnsi="Times New Roman"/>
                <w:sz w:val="16"/>
                <w:szCs w:val="16"/>
                <w:color w:val="0000EE"/>
              </w:rPr>
            </w:pPr>
            <w:hyperlink r:id="rId69">
              <w:r>
                <w:rPr>
                  <w:rFonts w:ascii="Times New Roman" w:cs="Times New Roman" w:eastAsia="Times New Roman" w:hAnsi="Times New Roman"/>
                  <w:sz w:val="16"/>
                  <w:szCs w:val="16"/>
                  <w:color w:val="0000EE"/>
                </w:rPr>
                <w:t>by and among Moatable US Holdco, Inc., Trucker</w:t>
              </w:r>
            </w:hyperlink>
          </w:p>
        </w:tc>
        <w:tc>
          <w:tcPr>
            <w:tcW w:w="8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11"/>
          </w:tcPr>
          <w:p>
            <w:pPr>
              <w:spacing w:after="0" w:line="183" w:lineRule="exact"/>
              <w:rPr>
                <w:rFonts w:ascii="Times New Roman" w:cs="Times New Roman" w:eastAsia="Times New Roman" w:hAnsi="Times New Roman"/>
                <w:sz w:val="16"/>
                <w:szCs w:val="16"/>
                <w:color w:val="0000EE"/>
              </w:rPr>
            </w:pPr>
            <w:hyperlink r:id="rId69">
              <w:r>
                <w:rPr>
                  <w:rFonts w:ascii="Times New Roman" w:cs="Times New Roman" w:eastAsia="Times New Roman" w:hAnsi="Times New Roman"/>
                  <w:sz w:val="16"/>
                  <w:szCs w:val="16"/>
                  <w:color w:val="0000EE"/>
                </w:rPr>
                <w:t>Path, Inc. and PNC Bank, National Association</w:t>
              </w:r>
            </w:hyperlink>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220" w:type="dxa"/>
            <w:vAlign w:val="bottom"/>
          </w:tcPr>
          <w:p>
            <w:pPr>
              <w:spacing w:after="0"/>
              <w:rPr>
                <w:sz w:val="24"/>
                <w:szCs w:val="24"/>
                <w:color w:val="auto"/>
              </w:rPr>
            </w:pPr>
          </w:p>
        </w:tc>
        <w:tc>
          <w:tcPr>
            <w:tcW w:w="3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Certification of Chief Executive Officer pursuant to</w:t>
            </w:r>
          </w:p>
        </w:tc>
        <w:tc>
          <w:tcPr>
            <w:tcW w:w="12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4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Exchange Act Rules 13a-14(a) and 15d-14(a), as</w:t>
            </w:r>
          </w:p>
        </w:tc>
        <w:tc>
          <w:tcPr>
            <w:tcW w:w="160" w:type="dxa"/>
            <w:vAlign w:val="bottom"/>
            <w:gridSpan w:val="6"/>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adopted pursuant to Section 302 of the Sarbanes-</w:t>
            </w:r>
          </w:p>
        </w:tc>
        <w:tc>
          <w:tcPr>
            <w:tcW w:w="12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Oxley Act of 2002</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Pr>
          <w:p>
            <w:pPr>
              <w:spacing w:after="0"/>
              <w:rPr>
                <w:sz w:val="24"/>
                <w:szCs w:val="24"/>
                <w:color w:val="auto"/>
              </w:rPr>
            </w:pPr>
          </w:p>
        </w:tc>
        <w:tc>
          <w:tcPr>
            <w:tcW w:w="3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Certification of Chief Financial Officer pursuant to</w:t>
            </w:r>
          </w:p>
        </w:tc>
        <w:tc>
          <w:tcPr>
            <w:tcW w:w="18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4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Exchange Act Rules 13a-14(a) and 15d-14(a), as</w:t>
            </w:r>
          </w:p>
        </w:tc>
        <w:tc>
          <w:tcPr>
            <w:tcW w:w="160" w:type="dxa"/>
            <w:vAlign w:val="bottom"/>
            <w:gridSpan w:val="6"/>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8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adopted pursuant to Section 302 of the Sarbanes-</w:t>
            </w:r>
          </w:p>
        </w:tc>
        <w:tc>
          <w:tcPr>
            <w:tcW w:w="12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Oxley Act of 2002</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220" w:type="dxa"/>
            <w:vAlign w:val="bottom"/>
          </w:tcPr>
          <w:p>
            <w:pPr>
              <w:spacing w:after="0"/>
              <w:rPr>
                <w:sz w:val="24"/>
                <w:szCs w:val="24"/>
                <w:color w:val="auto"/>
              </w:rPr>
            </w:pPr>
          </w:p>
        </w:tc>
        <w:tc>
          <w:tcPr>
            <w:tcW w:w="3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Certifications of Chief Executive Officer and Chief</w:t>
            </w:r>
          </w:p>
        </w:tc>
        <w:tc>
          <w:tcPr>
            <w:tcW w:w="16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20" w:type="dxa"/>
            <w:vAlign w:val="bottom"/>
            <w:tcBorders>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rPr>
              <w:t>Financial Officer pursuant to 18 U.S.C. Section 1350,</w:t>
            </w:r>
          </w:p>
        </w:tc>
        <w:tc>
          <w:tcPr>
            <w:tcW w:w="180" w:type="dxa"/>
            <w:vAlign w:val="bottom"/>
            <w:gridSpan w:val="7"/>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6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as adopted pursuant to Section 906 of the Sarbanes-</w:t>
            </w:r>
          </w:p>
        </w:tc>
        <w:tc>
          <w:tcPr>
            <w:tcW w:w="140" w:type="dxa"/>
            <w:vAlign w:val="bottom"/>
            <w:gridSpan w:val="5"/>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Oxley Act of 2002</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tcPr>
          <w:p>
            <w:pPr>
              <w:spacing w:after="0"/>
              <w:rPr>
                <w:sz w:val="24"/>
                <w:szCs w:val="24"/>
                <w:color w:val="auto"/>
              </w:rPr>
            </w:pPr>
          </w:p>
        </w:tc>
        <w:tc>
          <w:tcPr>
            <w:tcW w:w="37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Document  Set  for  the  condensed</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consolidated financial statements and accompanying</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notes in Part I, Item 1, “Financial Statements” of this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Quarterly Report on Form 10-Q</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97"/>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24"/>
                <w:szCs w:val="24"/>
                <w:color w:val="auto"/>
              </w:rPr>
            </w:pPr>
          </w:p>
        </w:tc>
        <w:tc>
          <w:tcPr>
            <w:tcW w:w="37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3"/>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the Inline XBRL document and contained in Exhibit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98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101)</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15684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4"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irrespective of any general incorporation language contained in such filing.</w:t>
      </w:r>
    </w:p>
    <w:p>
      <w:pPr>
        <w:spacing w:after="0" w:line="176" w:lineRule="exact"/>
        <w:rPr>
          <w:sz w:val="20"/>
          <w:szCs w:val="20"/>
          <w:color w:val="auto"/>
        </w:rPr>
      </w:pPr>
    </w:p>
    <w:p>
      <w:pPr>
        <w:ind w:left="340" w:right="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Securities and Exchange Commission upon request.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Moatable, Inc.</w:t>
      </w:r>
    </w:p>
    <w:p>
      <w:pPr>
        <w:spacing w:after="0" w:line="225"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Dated: November 14, 2025</w:t>
      </w:r>
      <w:r>
        <w:rPr>
          <w:sz w:val="20"/>
          <w:szCs w:val="20"/>
          <w:color w:val="auto"/>
        </w:rPr>
        <w:tab/>
      </w:r>
      <w:r>
        <w:rPr>
          <w:rFonts w:ascii="Times New Roman" w:cs="Times New Roman" w:eastAsia="Times New Roman" w:hAnsi="Times New Roman"/>
          <w:sz w:val="17"/>
          <w:szCs w:val="17"/>
          <w:color w:val="auto"/>
        </w:rPr>
        <w:t>By: /s/ Joseph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26035</wp:posOffset>
            </wp:positionV>
            <wp:extent cx="29489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Joseph Chen</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Chairman and Chief Executive Officer (Principal Executive</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Dated: November 14, 2025</w:t>
      </w:r>
      <w:r>
        <w:rPr>
          <w:sz w:val="20"/>
          <w:szCs w:val="20"/>
          <w:color w:val="auto"/>
        </w:rPr>
        <w:tab/>
      </w:r>
      <w:r>
        <w:rPr>
          <w:rFonts w:ascii="Times New Roman" w:cs="Times New Roman" w:eastAsia="Times New Roman" w:hAnsi="Times New Roman"/>
          <w:sz w:val="17"/>
          <w:szCs w:val="17"/>
          <w:color w:val="auto"/>
        </w:rPr>
        <w:t>By: /s/ Scott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26035</wp:posOffset>
            </wp:positionV>
            <wp:extent cx="29489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Scott Stone</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Chen, certify that:</w:t>
      </w:r>
    </w:p>
    <w:p>
      <w:pPr>
        <w:spacing w:after="0" w:line="18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Moatable, Inc.;</w:t>
      </w:r>
    </w:p>
    <w:p>
      <w:pPr>
        <w:spacing w:after="0" w:line="184"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Joseph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17145</wp:posOffset>
            </wp:positionV>
            <wp:extent cx="30772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Joseph Chen</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Stone, certify that:</w:t>
      </w:r>
    </w:p>
    <w:p>
      <w:pPr>
        <w:spacing w:after="0" w:line="18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Moatable, Inc.;</w:t>
      </w:r>
    </w:p>
    <w:p>
      <w:pPr>
        <w:spacing w:after="0" w:line="184"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 Scott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17145</wp:posOffset>
            </wp:positionV>
            <wp:extent cx="30943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Scott Stone</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Pursuant to the requirement set forth in Rule 13a-14(b) of the Securities Exchange Act of 1934, as amended, (the “Exchange Act”) and Section 1350 of Chapter 63 of Title 18 of the United States Code (18 U.S.C. §1350), </w:t>
      </w:r>
      <w:r>
        <w:rPr>
          <w:rFonts w:ascii="Times New Roman" w:cs="Times New Roman" w:eastAsia="Times New Roman" w:hAnsi="Times New Roman"/>
          <w:sz w:val="18"/>
          <w:szCs w:val="18"/>
          <w:color w:val="auto"/>
        </w:rPr>
        <w:t>Joseph Chen,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Moatable, Inc. (the “Company”), and Scott Stone, Chief Financial Officer of the Company, each hereby certifies that, to the best of his knowledge:</w:t>
      </w:r>
    </w:p>
    <w:p>
      <w:pPr>
        <w:spacing w:after="0" w:line="180" w:lineRule="exact"/>
        <w:rPr>
          <w:sz w:val="20"/>
          <w:szCs w:val="20"/>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2025, to which this Certification is attached as Exhibit 32.1 (the “Periodic Report”), fully complies with the requirements of Section 13(a) or Section 15(d) of the Exchange Act;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4840" w:type="dxa"/>
            <w:vAlign w:val="bottom"/>
          </w:tcPr>
          <w:p>
            <w:pPr>
              <w:spacing w:after="0"/>
              <w:rPr>
                <w:sz w:val="20"/>
                <w:szCs w:val="20"/>
                <w:color w:val="auto"/>
              </w:rPr>
            </w:pPr>
          </w:p>
        </w:tc>
      </w:tr>
      <w:tr>
        <w:trPr>
          <w:trHeight w:val="43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Joseph Chen</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 Scott Stone</w:t>
            </w:r>
          </w:p>
        </w:tc>
      </w:tr>
      <w:tr>
        <w:trPr>
          <w:trHeight w:val="191"/>
        </w:trPr>
        <w:tc>
          <w:tcPr>
            <w:tcW w:w="20" w:type="dxa"/>
            <w:vAlign w:val="bottom"/>
          </w:tcPr>
          <w:p>
            <w:pPr>
              <w:spacing w:after="0"/>
              <w:rPr>
                <w:sz w:val="16"/>
                <w:szCs w:val="16"/>
                <w:color w:val="auto"/>
              </w:rPr>
            </w:pPr>
          </w:p>
        </w:tc>
        <w:tc>
          <w:tcPr>
            <w:tcW w:w="4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Joseph Chen</w:t>
            </w:r>
          </w:p>
        </w:tc>
        <w:tc>
          <w:tcPr>
            <w:tcW w:w="220" w:type="dxa"/>
            <w:vAlign w:val="bottom"/>
          </w:tcPr>
          <w:p>
            <w:pPr>
              <w:spacing w:after="0"/>
              <w:rPr>
                <w:sz w:val="16"/>
                <w:szCs w:val="16"/>
                <w:color w:val="auto"/>
              </w:rPr>
            </w:pPr>
          </w:p>
        </w:tc>
        <w:tc>
          <w:tcPr>
            <w:tcW w:w="4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Stone</w:t>
            </w:r>
          </w:p>
        </w:tc>
      </w:tr>
      <w:tr>
        <w:trPr>
          <w:trHeight w:val="23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Moatable,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lowerRoman"/>
      <w:start w:val="1"/>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66" Type="http://schemas.openxmlformats.org/officeDocument/2006/relationships/hyperlink" Target="https://www.sec.gov/Archives/edgar/data/1509223/000141057823001916/mtbl-20230630xex3d1.htm" TargetMode="External"/><Relationship Id="rId67" Type="http://schemas.openxmlformats.org/officeDocument/2006/relationships/hyperlink" Target="https://www.sec.gov/Archives/edgar/data/1509223/000110465925089528/tm2525936d1_ex10-1.htm" TargetMode="External"/><Relationship Id="rId68" Type="http://schemas.openxmlformats.org/officeDocument/2006/relationships/hyperlink" Target="https://www.sec.gov/Archives/edgar/data/1509223/000110465925089528/tm2525936d1_ex10-2.htm" TargetMode="External"/><Relationship Id="rId69" Type="http://schemas.openxmlformats.org/officeDocument/2006/relationships/hyperlink" Target="https://www.sec.gov/Archives/edgar/data/1509223/000110465925089528/tm2525936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2025-11-14T16:36:00Z</dcterms:created>
  <dcterms:modified xsi:type="dcterms:W3CDTF">2025-11-14T16:36:00Z</dcterms:modified>
</cp:coreProperties>
</file>