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6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158750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9"/>
          <w:szCs w:val="29"/>
          <w:b w:val="1"/>
          <w:bCs w:val="1"/>
          <w:color w:val="auto"/>
        </w:rPr>
        <w:t>SCHEDULE TO</w:t>
      </w:r>
    </w:p>
    <w:p>
      <w:pPr>
        <w:spacing w:after="0" w:line="155"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5"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TENDER OFFER STATEMENT</w:t>
      </w: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UNDER SECTION 14(d)(1) OR 13(e)(1)</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117475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MOATABLE, INC.</w:t>
      </w:r>
    </w:p>
    <w:p>
      <w:pPr>
        <w:spacing w:after="0" w:line="5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i w:val="1"/>
          <w:iCs w:val="1"/>
          <w:color w:val="auto"/>
        </w:rPr>
        <w:t>(Name of Subject Company (Issuer) and Filing Person (as Offeror))</w:t>
      </w:r>
    </w:p>
    <w:p>
      <w:pPr>
        <w:spacing w:after="0" w:line="21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$0.001 per share</w:t>
      </w:r>
    </w:p>
    <w:p>
      <w:pPr>
        <w:spacing w:after="0" w:line="6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(Title of Class of Securities)</w:t>
      </w:r>
    </w:p>
    <w:p>
      <w:pPr>
        <w:spacing w:after="0" w:line="21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759892300</w:t>
      </w:r>
    </w:p>
    <w:p>
      <w:pPr>
        <w:spacing w:after="0" w:line="6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i w:val="1"/>
          <w:iCs w:val="1"/>
          <w:color w:val="auto"/>
        </w:rPr>
        <w:t>(CUSIP Number of Class of Securities)</w:t>
      </w:r>
    </w:p>
    <w:p>
      <w:pPr>
        <w:spacing w:after="0" w:line="21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Scott Stone</w:t>
      </w:r>
    </w:p>
    <w:p>
      <w:pPr>
        <w:spacing w:after="0" w:line="2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45 W. Buchanan Street</w:t>
      </w:r>
    </w:p>
    <w:p>
      <w:pPr>
        <w:ind w:left="4640"/>
        <w:spacing w:after="0" w:line="234" w:lineRule="auto"/>
        <w:rPr>
          <w:sz w:val="20"/>
          <w:szCs w:val="20"/>
          <w:color w:val="auto"/>
        </w:rPr>
      </w:pPr>
      <w:r>
        <w:rPr>
          <w:rFonts w:ascii="Times New Roman" w:cs="Times New Roman" w:eastAsia="Times New Roman" w:hAnsi="Times New Roman"/>
          <w:sz w:val="18"/>
          <w:szCs w:val="18"/>
          <w:b w:val="1"/>
          <w:bCs w:val="1"/>
          <w:color w:val="auto"/>
        </w:rPr>
        <w:t>Phoenix, AZ 85003</w:t>
      </w:r>
    </w:p>
    <w:p>
      <w:pPr>
        <w:spacing w:after="0" w:line="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(623) 473-5749</w:t>
      </w:r>
    </w:p>
    <w:p>
      <w:pPr>
        <w:spacing w:after="0" w:line="1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i w:val="1"/>
          <w:iCs w:val="1"/>
          <w:color w:val="auto"/>
        </w:rPr>
        <w:t>(Name, address and telephone number of person authorized</w:t>
      </w:r>
    </w:p>
    <w:p>
      <w:pPr>
        <w:spacing w:after="0" w:line="2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i w:val="1"/>
          <w:iCs w:val="1"/>
          <w:color w:val="auto"/>
        </w:rPr>
        <w:t>to receive notices and communications on behalf of filing persons)</w:t>
      </w:r>
    </w:p>
    <w:p>
      <w:pPr>
        <w:spacing w:after="0" w:line="13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John-Paul Motley, Esq.</w:t>
      </w:r>
    </w:p>
    <w:p>
      <w:pPr>
        <w:spacing w:after="0" w:line="2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Will Cai, Esq.</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Cooley LLP</w:t>
      </w:r>
    </w:p>
    <w:p>
      <w:pPr>
        <w:spacing w:after="0" w:line="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355 South Grand Avenue, Suite 900</w:t>
      </w:r>
    </w:p>
    <w:p>
      <w:pPr>
        <w:spacing w:after="0" w:line="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Los Angeles, CA 90071</w:t>
      </w:r>
    </w:p>
    <w:p>
      <w:pPr>
        <w:ind w:left="4720"/>
        <w:spacing w:after="0"/>
        <w:rPr>
          <w:sz w:val="20"/>
          <w:szCs w:val="20"/>
          <w:color w:val="auto"/>
        </w:rPr>
      </w:pPr>
      <w:r>
        <w:rPr>
          <w:rFonts w:ascii="Times New Roman" w:cs="Times New Roman" w:eastAsia="Times New Roman" w:hAnsi="Times New Roman"/>
          <w:sz w:val="18"/>
          <w:szCs w:val="18"/>
          <w:b w:val="1"/>
          <w:bCs w:val="1"/>
          <w:color w:val="auto"/>
        </w:rPr>
        <w:t>+1 (213) 561-3204</w:t>
      </w:r>
    </w:p>
    <w:p>
      <w:pPr>
        <w:spacing w:after="0" w:line="124" w:lineRule="exact"/>
        <w:rPr>
          <w:sz w:val="24"/>
          <w:szCs w:val="24"/>
          <w:color w:val="auto"/>
        </w:rPr>
      </w:pPr>
    </w:p>
    <w:p>
      <w:pPr>
        <w:ind w:left="1620" w:right="599" w:hanging="360"/>
        <w:spacing w:after="0" w:line="282" w:lineRule="auto"/>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filing relates solely to preliminary communications made before the commencement of a tender offer.</w:t>
      </w:r>
    </w:p>
    <w:p>
      <w:pPr>
        <w:spacing w:after="0" w:line="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58" w:lineRule="exact"/>
        <w:rPr>
          <w:sz w:val="24"/>
          <w:szCs w:val="24"/>
          <w:color w:val="auto"/>
        </w:rPr>
      </w:pPr>
    </w:p>
    <w:p>
      <w:pPr>
        <w:ind w:left="1980" w:hanging="360"/>
        <w:spacing w:after="0"/>
        <w:tabs>
          <w:tab w:leader="none" w:pos="1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58" w:lineRule="exact"/>
        <w:rPr>
          <w:sz w:val="24"/>
          <w:szCs w:val="24"/>
          <w:color w:val="auto"/>
        </w:rPr>
      </w:pPr>
    </w:p>
    <w:p>
      <w:pPr>
        <w:ind w:left="1980" w:hanging="360"/>
        <w:spacing w:after="0"/>
        <w:tabs>
          <w:tab w:leader="none" w:pos="19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44" w:lineRule="exact"/>
        <w:rPr>
          <w:sz w:val="24"/>
          <w:szCs w:val="24"/>
          <w:color w:val="auto"/>
        </w:rPr>
      </w:pPr>
    </w:p>
    <w:p>
      <w:pPr>
        <w:ind w:left="1980" w:hanging="360"/>
        <w:spacing w:after="0"/>
        <w:tabs>
          <w:tab w:leader="none" w:pos="1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57" w:lineRule="exact"/>
        <w:rPr>
          <w:rFonts w:ascii="MS PGothic" w:cs="MS PGothic" w:eastAsia="MS PGothic" w:hAnsi="MS PGothic"/>
          <w:sz w:val="18"/>
          <w:szCs w:val="18"/>
          <w:color w:val="auto"/>
        </w:rPr>
      </w:pPr>
    </w:p>
    <w:p>
      <w:pPr>
        <w:ind w:left="1980" w:hanging="360"/>
        <w:spacing w:after="0"/>
        <w:tabs>
          <w:tab w:leader="none" w:pos="1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03"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44" w:lineRule="exact"/>
        <w:rPr>
          <w:sz w:val="24"/>
          <w:szCs w:val="24"/>
          <w:color w:val="auto"/>
        </w:rPr>
      </w:pPr>
    </w:p>
    <w:p>
      <w:pPr>
        <w:ind w:left="1980" w:hanging="360"/>
        <w:spacing w:after="0"/>
        <w:tabs>
          <w:tab w:leader="none" w:pos="1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57" w:lineRule="exact"/>
        <w:rPr>
          <w:rFonts w:ascii="MS PGothic" w:cs="MS PGothic" w:eastAsia="MS PGothic" w:hAnsi="MS PGothic"/>
          <w:sz w:val="18"/>
          <w:szCs w:val="18"/>
          <w:color w:val="auto"/>
        </w:rPr>
      </w:pPr>
    </w:p>
    <w:p>
      <w:pPr>
        <w:ind w:left="1980" w:hanging="360"/>
        <w:spacing w:after="0"/>
        <w:tabs>
          <w:tab w:leader="none" w:pos="1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 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AMENDMENT NO. 1 TO SCHEDULE TO</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Amendment No. 1 (this “Amendment No. 1”) amends and supplements the Tender Offer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Statement on Schedule TO originally filed by Moatable, Inc., an exempted company incorporated under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laws of the Cayman Islands (“Moatable” or the “Company”), on September 3, 2025 (the “Schedule TO”) 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connection with the Company’s offer to purchase up to 225,000,000 Class A ordinary shares, par value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$0.001 per share (“Class A Ordinary Shares”) (including Class A Ordinary Shares represented by American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Depositary Shares (the “ADSs”) of the Company, each representing 45 Class A Ordinary Shares), at a price</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$3.00/45 per Class A Ordinary Share (or $3.00 per ADS), net to the seller in cash, less any applicable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withholding taxes, without interest, and with respect to ADSs, less a cash distribution fee of $0.05 per ADS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accepted for purchase in the Offer that will be paid to Citibank, N.A., the Company’s ADS depositary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“ADS Depositary”), upon the terms and subject to the conditions described in the Offer to Purchase, dated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 2025 (together with any amendments or supplements thereto, the “Offer to Purchase”),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Letter of Transmittal for Class A Ordinary Shares represented by ADSs (as may be amended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supplemented, the “ADS Letter of Transmittal”) and Instruction Form for Class A Ordinary Shares not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represented by ADSs (as may be amended or supplemented, the “Class A Instruction Form” and together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the ADS Letter of Transmittal, the “Letters of Transmittal”) and other related materials as may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amended or supplemented from time to time, including by the Supplemental Notice, dated September 12,</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 (collectively, with the Offer to Purchase and the Letters of Transmittal, the “Offer”).</w:t>
      </w:r>
    </w:p>
    <w:p>
      <w:pPr>
        <w:spacing w:after="0" w:line="12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Except as specifically provided herein, the information contained in the Schedule TO remains unchanged and this Amendment No. 1 does not modify any of the information previously reported on the Schedule TO. You should read this Amendment No. 1 together with the Schedule TO and all exhibits attached thereto, including the Offer to Purchase, dated September 3, 2025, and the related Letters of Transmittal, as each may be amended or supplemented from time to time.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Items 1 through 11.</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Items 1 through 11 of the Schedule TO are hereby amended and supplemented as follows:</w:t>
      </w:r>
    </w:p>
    <w:p>
      <w:pPr>
        <w:spacing w:after="0" w:line="144"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On September 12, 2025, the Company issued a supplemental notice (the “Supplemental Notice”) to holders of its Class A Ordinary Shares (including Class A Ordinary Shares represented by ADSs). The Supplemental Notice revised the Offer as follows:</w:t>
      </w:r>
    </w:p>
    <w:p>
      <w:pPr>
        <w:spacing w:after="0" w:line="61" w:lineRule="exact"/>
        <w:rPr>
          <w:sz w:val="20"/>
          <w:szCs w:val="20"/>
          <w:color w:val="auto"/>
        </w:rPr>
      </w:pPr>
    </w:p>
    <w:p>
      <w:pPr>
        <w:ind w:left="1800" w:right="419" w:hanging="180"/>
        <w:spacing w:after="0" w:line="255"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was amended to constitute an offer to purchase up to 225,000,000 Class A Ordinary Shares (including Class A Ordinary Shares represented by ADSs) at a price of $3.00/45 per Class A Ordinary Share (or $3.00 per ADS), net to the seller in cash, less any applicable withholding taxes, and, in the case of ADSs, less a cash distribution fee of $0.05 per ADS accepted for purchase in the Offer that will be paid to Citibank, N.A., the Company’s ADS Depositary, and without interest. It was noted that holders of Class A Ordinary Shares not represented by ADSs may tender such shares and additional instructions for tendering Class A Ordinary Shares not represented by ADSs were provided;</w:t>
      </w:r>
    </w:p>
    <w:p>
      <w:pPr>
        <w:spacing w:after="0" w:line="296"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odd lot priority was revised to apply to holders of less than 100 Class A Ordinary Shares (including Class A Ordinary Shares represented by ADSs), rather than holders of less than 100 ADSs;</w:t>
      </w:r>
    </w:p>
    <w:p>
      <w:pPr>
        <w:spacing w:after="0" w:line="54" w:lineRule="exact"/>
        <w:rPr>
          <w:rFonts w:ascii="Times New Roman" w:cs="Times New Roman" w:eastAsia="Times New Roman" w:hAnsi="Times New Roman"/>
          <w:sz w:val="18"/>
          <w:szCs w:val="18"/>
          <w:color w:val="auto"/>
        </w:rPr>
      </w:pPr>
    </w:p>
    <w:p>
      <w:pPr>
        <w:jc w:val="both"/>
        <w:ind w:left="1800" w:right="8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removed the requirements for holders to obtain the Company’s consent to deposit Class A Ordinary Shares in exchange for ADSs or pay for any issuance fees payable to the ADS Depositary, in each case for the issuance of ADSs in exchange for Class A Ordinary Shares;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Condition (as defined in the Offer to Purchase) was eliminated as a condition to the Offer and a summary of the material terms of the Company’s new credit facility was provided;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outstanding and related disclosures were updated; and</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disclosed the factors it will consider when determining whether to voluntarily suspend its reporting obligations with the Securities and Exchange Commission (the “SEC”).</w:t>
      </w:r>
    </w:p>
    <w:p>
      <w:pPr>
        <w:spacing w:after="0" w:line="94"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Supplemental Notice is filed as Exhibit (a)(1)(I) to this Amendment No. 1 and is incorporated herein by reference.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line="242" w:lineRule="auto"/>
        <w:framePr w:w="7280" w:h="835" w:wrap="auto" w:vAnchor="page" w:hAnchor="page" w:x="2700" w:y="458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Loan Agreement, dated as of September 11, 2025, by and among Moatable US Holdco, Inc., Lofty, Inc. and Trucker Path, Inc., as borrowers, and PNC Bank, National Association, as the lender party thereto (incorporated by reference to Exhibit 10.1 of the Company’s Current Report on Form 8-K filed with the SEC on September 12, 2025).</w:t>
      </w:r>
    </w:p>
    <w:p>
      <w:pPr>
        <w:spacing w:after="0" w:line="186" w:lineRule="auto"/>
        <w:framePr w:w="3960" w:h="214" w:wrap="auto" w:vAnchor="page" w:hAnchor="page" w:x="2700" w:y="4300"/>
        <w:rPr>
          <w:rFonts w:ascii="Times New Roman" w:cs="Times New Roman" w:eastAsia="Times New Roman" w:hAnsi="Times New Roman"/>
          <w:sz w:val="14"/>
          <w:szCs w:val="14"/>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xml:space="preserve"> Supplemental Notice, dated September 12, 2025.</w:t>
      </w:r>
    </w:p>
    <w:p>
      <w:pPr>
        <w:spacing w:after="0"/>
        <w:rPr>
          <w:sz w:val="20"/>
          <w:szCs w:val="20"/>
          <w:color w:val="auto"/>
        </w:rPr>
      </w:pPr>
      <w:r>
        <w:rPr>
          <w:rFonts w:ascii="Calibri" w:cs="Calibri" w:eastAsia="Calibri" w:hAnsi="Calibri"/>
          <w:sz w:val="14"/>
          <w:szCs w:val="14"/>
          <w:color w:val="auto"/>
        </w:rPr>
        <w: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5" w:lineRule="exact"/>
        <w:rPr>
          <w:rFonts w:ascii="Times New Roman" w:cs="Times New Roman" w:eastAsia="Times New Roman" w:hAnsi="Times New Roman"/>
          <w:sz w:val="14"/>
          <w:szCs w:val="1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2. Subject Company Information</w:t>
      </w:r>
    </w:p>
    <w:p>
      <w:pPr>
        <w:spacing w:after="0" w:line="160" w:lineRule="exact"/>
        <w:rPr>
          <w:rFonts w:ascii="Times New Roman" w:cs="Times New Roman" w:eastAsia="Times New Roman" w:hAnsi="Times New Roman"/>
          <w:sz w:val="14"/>
          <w:szCs w:val="14"/>
          <w:color w:val="auto"/>
        </w:rPr>
      </w:pPr>
    </w:p>
    <w:p>
      <w:pPr>
        <w:ind w:left="1260" w:right="499" w:firstLine="360"/>
        <w:spacing w:after="0" w:line="261" w:lineRule="auto"/>
        <w:tabs>
          <w:tab w:leader="none" w:pos="19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The subject securities are Class A Ordinary Shares (including Class A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underlying ADSs of the Company, each representing 45 Class A Ordinary Shares). As of August 27, 2025, there were 653,415,163 Class A Ordinary Shares outstanding (including 14,279,371 ADSs, representing 642,571,713 Class A Ordinary Shares).</w:t>
      </w:r>
    </w:p>
    <w:p>
      <w:pPr>
        <w:sectPr>
          <w:pgSz w:w="11900" w:h="16838" w:orient="portrait"/>
          <w:cols w:equalWidth="0" w:num="1">
            <w:col w:w="9879"/>
          </w:cols>
          <w:pgMar w:left="580" w:top="97" w:right="1440" w:bottom="1440" w:gutter="0" w:footer="0" w:header="0"/>
        </w:sectPr>
      </w:pPr>
    </w:p>
    <w:p>
      <w:pPr>
        <w:spacing w:after="0" w:line="178" w:lineRule="exact"/>
        <w:rPr>
          <w:rFonts w:ascii="Times New Roman" w:cs="Times New Roman" w:eastAsia="Times New Roman" w:hAnsi="Times New Roman"/>
          <w:sz w:val="14"/>
          <w:szCs w:val="1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162" w:lineRule="exact"/>
        <w:rPr>
          <w:rFonts w:ascii="Times New Roman" w:cs="Times New Roman" w:eastAsia="Times New Roman" w:hAnsi="Times New Roman"/>
          <w:sz w:val="14"/>
          <w:szCs w:val="14"/>
          <w:color w:val="auto"/>
        </w:rPr>
      </w:pPr>
    </w:p>
    <w:p>
      <w:pPr>
        <w:ind w:left="162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exhibits:</w:t>
      </w:r>
    </w:p>
    <w:p>
      <w:pPr>
        <w:spacing w:after="0" w:line="171" w:lineRule="exact"/>
        <w:rPr>
          <w:rFonts w:ascii="Times New Roman" w:cs="Times New Roman" w:eastAsia="Times New Roman" w:hAnsi="Times New Roman"/>
          <w:sz w:val="14"/>
          <w:szCs w:val="14"/>
          <w:color w:val="auto"/>
        </w:rPr>
      </w:pPr>
    </w:p>
    <w:p>
      <w:pPr>
        <w:ind w:left="1260"/>
        <w:spacing w:after="0"/>
        <w:rPr>
          <w:sz w:val="20"/>
          <w:szCs w:val="20"/>
          <w:color w:val="auto"/>
        </w:rPr>
      </w:pPr>
      <w:r>
        <w:rPr>
          <w:rFonts w:ascii="Times New Roman" w:cs="Times New Roman" w:eastAsia="Times New Roman" w:hAnsi="Times New Roman"/>
          <w:sz w:val="18"/>
          <w:szCs w:val="18"/>
          <w:color w:val="auto"/>
        </w:rPr>
        <w:t>​(a)(1)(B)** ​ ​ Letter of Transmittal for Class A Ordinary Shares Represented by ADSs.</w:t>
      </w:r>
    </w:p>
    <w:p>
      <w:pPr>
        <w:ind w:left="1260"/>
        <w:spacing w:after="0" w:line="18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(a)(1)(E)**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Form of Notice of Withdrawal for Class A Ordinary Shares Represented by ADSs.</w:t>
      </w:r>
    </w:p>
    <w:p>
      <w:pPr>
        <w:ind w:left="1260"/>
        <w:spacing w:after="0" w:line="180" w:lineRule="auto"/>
        <w:rPr>
          <w:sz w:val="20"/>
          <w:szCs w:val="20"/>
          <w:color w:val="auto"/>
        </w:rPr>
      </w:pPr>
      <w:r>
        <w:rPr>
          <w:rFonts w:ascii="Times New Roman" w:cs="Times New Roman" w:eastAsia="Times New Roman" w:hAnsi="Times New Roman"/>
          <w:sz w:val="14"/>
          <w:szCs w:val="14"/>
          <w:color w:val="auto"/>
        </w:rPr>
        <w:t>(a)(1)(G)**</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Instruction Form for Class A Ordinary Shares Not Represented by ADSs.</w:t>
      </w:r>
    </w:p>
    <w:p>
      <w:pPr>
        <w:ind w:left="1260"/>
        <w:spacing w:after="0" w:line="227" w:lineRule="auto"/>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(a)(1)(H)**</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4"/>
          <w:szCs w:val="14"/>
          <w:color w:val="auto"/>
        </w:rPr>
        <w:t xml:space="preserve"> Form of Notice of Withdrawal for Class A Ordinary Shares Not Represented by ADSs.</w:t>
      </w:r>
    </w:p>
    <w:p>
      <w:pPr>
        <w:spacing w:after="0" w:line="1" w:lineRule="exact"/>
        <w:rPr>
          <w:rFonts w:ascii="Times New Roman" w:cs="Times New Roman" w:eastAsia="Times New Roman" w:hAnsi="Times New Roman"/>
          <w:sz w:val="14"/>
          <w:szCs w:val="14"/>
          <w:color w:val="auto"/>
        </w:rPr>
      </w:pPr>
    </w:p>
    <w:p>
      <w:pPr>
        <w:ind w:left="1260" w:right="7080"/>
        <w:spacing w:after="0" w:line="214"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(a)(1)(I)** ​(b)(1)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0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4"/>
          <w:szCs w:val="14"/>
          <w:color w:val="auto"/>
        </w:rPr>
      </w:pPr>
    </w:p>
    <w:p>
      <w:pPr>
        <w:sectPr>
          <w:pgSz w:w="11900" w:h="16838" w:orient="portrait"/>
          <w:cols w:equalWidth="0" w:num="2">
            <w:col w:w="9140" w:space="320"/>
            <w:col w:w="419"/>
          </w:cols>
          <w:pgMar w:left="580" w:top="97" w:right="1440" w:bottom="1440" w:gutter="0" w:footer="0" w:header="0"/>
          <w:type w:val="continuous"/>
        </w:sectPr>
      </w:pPr>
    </w:p>
    <w:p>
      <w:pPr>
        <w:spacing w:after="0" w:line="200" w:lineRule="exact"/>
        <w:rPr>
          <w:rFonts w:ascii="Times New Roman" w:cs="Times New Roman" w:eastAsia="Times New Roman" w:hAnsi="Times New Roman"/>
          <w:sz w:val="14"/>
          <w:szCs w:val="14"/>
          <w:color w:val="auto"/>
        </w:rPr>
      </w:pPr>
    </w:p>
    <w:p>
      <w:pPr>
        <w:spacing w:after="0" w:line="258" w:lineRule="exact"/>
        <w:rPr>
          <w:rFonts w:ascii="Times New Roman" w:cs="Times New Roman" w:eastAsia="Times New Roman" w:hAnsi="Times New Roman"/>
          <w:sz w:val="14"/>
          <w:szCs w:val="14"/>
          <w:color w:val="auto"/>
        </w:rPr>
      </w:pPr>
    </w:p>
    <w:p>
      <w:pPr>
        <w:ind w:left="1260"/>
        <w:spacing w:after="0"/>
        <w:rPr>
          <w:sz w:val="20"/>
          <w:szCs w:val="20"/>
          <w:color w:val="auto"/>
        </w:rPr>
      </w:pPr>
      <w:r>
        <w:rPr>
          <w:rFonts w:ascii="Times New Roman" w:cs="Times New Roman" w:eastAsia="Times New Roman" w:hAnsi="Times New Roman"/>
          <w:sz w:val="18"/>
          <w:szCs w:val="18"/>
          <w:color w:val="auto"/>
        </w:rPr>
        <w:t>​(b)(2)</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1" w:lineRule="exact"/>
        <w:rPr>
          <w:rFonts w:ascii="Times New Roman" w:cs="Times New Roman" w:eastAsia="Times New Roman" w:hAnsi="Times New Roman"/>
          <w:sz w:val="14"/>
          <w:szCs w:val="14"/>
          <w:color w:val="auto"/>
        </w:rPr>
      </w:pPr>
    </w:p>
    <w:p>
      <w:pPr>
        <w:ind w:left="126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6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-570865</wp:posOffset>
            </wp:positionH>
            <wp:positionV relativeFrom="paragraph">
              <wp:posOffset>608965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63" w:lineRule="exact"/>
        <w:rPr>
          <w:rFonts w:ascii="Times New Roman" w:cs="Times New Roman" w:eastAsia="Times New Roman" w:hAnsi="Times New Roman"/>
          <w:sz w:val="14"/>
          <w:szCs w:val="14"/>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 Note, dated as of September 11, 2025, by and among Moatable US Holdco,</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 Lofty, Inc. and Trucker Path, Inc., as borrowers, and PNC Bank, National Association,</w:t>
            </w:r>
          </w:p>
        </w:tc>
        <w:tc>
          <w:tcPr>
            <w:tcW w:w="16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as the lender party thereto (incorporated by reference to Exhibit 10.2 of the Company’s</w:t>
            </w:r>
          </w:p>
        </w:tc>
        <w:tc>
          <w:tcPr>
            <w:tcW w:w="160" w:type="dxa"/>
            <w:vAlign w:val="bottom"/>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 on September 12, 2025).</w:t>
            </w:r>
          </w:p>
        </w:tc>
        <w:tc>
          <w:tcPr>
            <w:tcW w:w="160" w:type="dxa"/>
            <w:vAlign w:val="bottom"/>
          </w:tcPr>
          <w:p>
            <w:pPr>
              <w:spacing w:after="0"/>
              <w:rPr>
                <w:sz w:val="20"/>
                <w:szCs w:val="20"/>
                <w:color w:val="auto"/>
              </w:rPr>
            </w:pPr>
          </w:p>
        </w:tc>
      </w:tr>
    </w:tbl>
    <w:p>
      <w:pPr>
        <w:spacing w:after="0" w:line="9" w:lineRule="exact"/>
        <w:rPr>
          <w:rFonts w:ascii="Times New Roman" w:cs="Times New Roman" w:eastAsia="Times New Roman" w:hAnsi="Times New Roman"/>
          <w:sz w:val="14"/>
          <w:szCs w:val="14"/>
          <w:color w:val="auto"/>
        </w:rPr>
      </w:pPr>
    </w:p>
    <w:p>
      <w:pPr>
        <w:ind w:right="359"/>
        <w:spacing w:after="0" w:line="275" w:lineRule="auto"/>
        <w:rPr>
          <w:sz w:val="20"/>
          <w:szCs w:val="20"/>
          <w:color w:val="auto"/>
        </w:rPr>
      </w:pPr>
      <w:r>
        <w:rPr>
          <w:rFonts w:ascii="Times New Roman" w:cs="Times New Roman" w:eastAsia="Times New Roman" w:hAnsi="Times New Roman"/>
          <w:sz w:val="18"/>
          <w:szCs w:val="18"/>
          <w:color w:val="auto"/>
        </w:rPr>
        <w:t>Pledge Agreement, dated as of September 11, 2025, by and among Moatable US Holdco, Inc., ​ Trucker Path, Inc. and PNC Bank, National Association (incorporated by reference to Exhibit 10.3 of the Company’s Current Report on Form 8-K filed with the SEC on September 12, 2025).</w:t>
      </w:r>
    </w:p>
    <w:p>
      <w:pPr>
        <w:spacing w:after="0" w:line="200" w:lineRule="exact"/>
        <w:rPr>
          <w:rFonts w:ascii="Times New Roman" w:cs="Times New Roman" w:eastAsia="Times New Roman" w:hAnsi="Times New Roman"/>
          <w:sz w:val="14"/>
          <w:szCs w:val="14"/>
          <w:color w:val="auto"/>
        </w:rPr>
      </w:pPr>
    </w:p>
    <w:p>
      <w:pPr>
        <w:sectPr>
          <w:pgSz w:w="11900" w:h="16838" w:orient="portrait"/>
          <w:cols w:equalWidth="0" w:num="3">
            <w:col w:w="1700" w:space="460"/>
            <w:col w:w="140" w:space="60"/>
            <w:col w:w="7519"/>
          </w:cols>
          <w:pgMar w:left="580" w:top="97" w:right="1440" w:bottom="1440" w:gutter="0" w:footer="0" w:header="0"/>
          <w:type w:val="continuous"/>
        </w:sectPr>
      </w:pPr>
    </w:p>
    <w:p>
      <w:pPr>
        <w:spacing w:after="0" w:line="398" w:lineRule="exact"/>
        <w:rPr>
          <w:rFonts w:ascii="Times New Roman" w:cs="Times New Roman" w:eastAsia="Times New Roman" w:hAnsi="Times New Roman"/>
          <w:sz w:val="14"/>
          <w:szCs w:val="14"/>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2" w:lineRule="exact"/>
        <w:rPr>
          <w:rFonts w:ascii="Times New Roman" w:cs="Times New Roman" w:eastAsia="Times New Roman" w:hAnsi="Times New Roman"/>
          <w:sz w:val="14"/>
          <w:szCs w:val="14"/>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12, 2025</w:t>
            </w:r>
          </w:p>
        </w:tc>
        <w:tc>
          <w:tcPr>
            <w:tcW w:w="52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MOATABLE,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2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By: /s/ Joseph Chen</w:t>
            </w:r>
          </w:p>
        </w:tc>
        <w:tc>
          <w:tcPr>
            <w:tcW w:w="60" w:type="dxa"/>
            <w:vAlign w:val="bottom"/>
          </w:tcPr>
          <w:p>
            <w:pPr>
              <w:spacing w:after="0"/>
              <w:rPr>
                <w:sz w:val="24"/>
                <w:szCs w:val="24"/>
                <w:color w:val="auto"/>
              </w:rPr>
            </w:pPr>
          </w:p>
        </w:tc>
      </w:tr>
      <w:tr>
        <w:trPr>
          <w:trHeight w:val="54"/>
        </w:trPr>
        <w:tc>
          <w:tcPr>
            <w:tcW w:w="4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2"/>
        </w:trPr>
        <w:tc>
          <w:tcPr>
            <w:tcW w:w="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Name:</w:t>
            </w: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Joseph Chen</w:t>
            </w:r>
          </w:p>
        </w:tc>
        <w:tc>
          <w:tcPr>
            <w:tcW w:w="60" w:type="dxa"/>
            <w:vAlign w:val="bottom"/>
          </w:tcPr>
          <w:p>
            <w:pPr>
              <w:spacing w:after="0"/>
              <w:rPr>
                <w:sz w:val="20"/>
                <w:szCs w:val="20"/>
                <w:color w:val="auto"/>
              </w:rPr>
            </w:pPr>
          </w:p>
        </w:tc>
      </w:tr>
      <w:tr>
        <w:trPr>
          <w:trHeight w:val="234"/>
        </w:trPr>
        <w:tc>
          <w:tcPr>
            <w:tcW w:w="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3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line="242" w:lineRule="auto"/>
        <w:framePr w:w="7280" w:h="835" w:wrap="auto" w:vAnchor="page" w:hAnchor="page" w:x="2700" w:y="4556"/>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 ​ </w:t>
      </w:r>
      <w:hyperlink r:id="rId17">
        <w:r>
          <w:rPr>
            <w:rFonts w:ascii="Times New Roman" w:cs="Times New Roman" w:eastAsia="Times New Roman" w:hAnsi="Times New Roman"/>
            <w:sz w:val="18"/>
            <w:szCs w:val="18"/>
            <w:color w:val="0000EE"/>
          </w:rPr>
          <w:t>Loan Agreement, dated as of September 11, 2025, by and among Moatable US Holdco, Inc.,</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color w:val="0000EE"/>
          </w:rPr>
          <w:t>Lofty, Inc. and Trucker Path, Inc., as borrowers, and PNC Bank, National Association, as the</w:t>
        </w:r>
      </w:hyperlink>
      <w:r>
        <w:rPr>
          <w:rFonts w:ascii="Times New Roman" w:cs="Times New Roman" w:eastAsia="Times New Roman" w:hAnsi="Times New Roman"/>
          <w:sz w:val="18"/>
          <w:szCs w:val="18"/>
          <w:color w:val="0000EE"/>
        </w:rPr>
        <w:t xml:space="preserve"> </w:t>
      </w:r>
      <w:hyperlink r:id="rId17">
        <w:r>
          <w:rPr>
            <w:rFonts w:ascii="Times New Roman" w:cs="Times New Roman" w:eastAsia="Times New Roman" w:hAnsi="Times New Roman"/>
            <w:sz w:val="18"/>
            <w:szCs w:val="18"/>
            <w:color w:val="0000EE"/>
          </w:rPr>
          <w:t>lender party thereto (incorporated by reference to Exhibit 10.1 of the Company’s Current</w:t>
        </w:r>
      </w:hyperlink>
      <w:r>
        <w:rPr>
          <w:rFonts w:ascii="Times New Roman" w:cs="Times New Roman" w:eastAsia="Times New Roman" w:hAnsi="Times New Roman"/>
          <w:sz w:val="18"/>
          <w:szCs w:val="18"/>
          <w:color w:val="0000EE"/>
        </w:rPr>
        <w:t xml:space="preserve"> </w:t>
      </w:r>
      <w:hyperlink r:id="rId17">
        <w:r>
          <w:rPr>
            <w:rFonts w:ascii="Times New Roman" w:cs="Times New Roman" w:eastAsia="Times New Roman" w:hAnsi="Times New Roman"/>
            <w:sz w:val="18"/>
            <w:szCs w:val="18"/>
            <w:color w:val="0000EE"/>
          </w:rPr>
          <w:t>Report on Form 8-K filed with the SEC on September 12, 2025).</w:t>
        </w:r>
      </w:hyperlink>
    </w:p>
    <w:p>
      <w:pPr>
        <w:spacing w:after="0"/>
        <w:rPr>
          <w:sz w:val="20"/>
          <w:szCs w:val="20"/>
          <w:color w:val="auto"/>
        </w:rPr>
      </w:pPr>
      <w:r>
        <w:rPr>
          <w:rFonts w:ascii="Calibri" w:cs="Calibri" w:eastAsia="Calibri" w:hAnsi="Calibri"/>
          <w:sz w:val="14"/>
          <w:szCs w:val="14"/>
          <w:color w:val="auto"/>
        </w:rPr>
        <w:t>​</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35" w:lineRule="exact"/>
        <w:rPr>
          <w:rFonts w:ascii="Times New Roman" w:cs="Times New Roman" w:eastAsia="Times New Roman" w:hAnsi="Times New Roman"/>
          <w:sz w:val="18"/>
          <w:szCs w:val="18"/>
          <w:color w:val="0000EE"/>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7" w:lineRule="exact"/>
        <w:rPr>
          <w:rFonts w:ascii="Times New Roman" w:cs="Times New Roman" w:eastAsia="Times New Roman" w:hAnsi="Times New Roman"/>
          <w:sz w:val="18"/>
          <w:szCs w:val="18"/>
          <w:color w:val="0000EE"/>
        </w:rPr>
      </w:pPr>
    </w:p>
    <w:p>
      <w:pPr>
        <w:jc w:val="right"/>
        <w:ind w:right="379"/>
        <w:spacing w:after="0"/>
        <w:tabs>
          <w:tab w:leader="none" w:pos="7280" w:val="left"/>
          <w:tab w:leader="none" w:pos="3900" w:val="left"/>
          <w:tab w:leader="none" w:pos="20" w:val="left"/>
        </w:tabs>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Exhibit No.</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ectPr>
          <w:pgSz w:w="11900" w:h="16838" w:orient="portrait"/>
          <w:cols w:equalWidth="0" w:num="1">
            <w:col w:w="9879"/>
          </w:cols>
          <w:pgMar w:left="580" w:top="97" w:right="1440" w:bottom="1440" w:gutter="0" w:footer="0" w:header="0"/>
        </w:sectPr>
      </w:pPr>
    </w:p>
    <w:p>
      <w:pPr>
        <w:spacing w:after="0" w:line="46"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0000EE"/>
        </w:rPr>
      </w:pPr>
    </w:p>
    <w:p>
      <w:pPr>
        <w:ind w:left="94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type w:val="continuous"/>
        </w:sect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11"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​(b)(2)</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11"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​(b)(3)</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11"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​(d)(1)</w:t>
      </w:r>
    </w:p>
    <w:p>
      <w:pPr>
        <w:spacing w:after="0" w:line="200" w:lineRule="exact"/>
        <w:rPr>
          <w:rFonts w:ascii="Times New Roman" w:cs="Times New Roman" w:eastAsia="Times New Roman" w:hAnsi="Times New Roman"/>
          <w:sz w:val="18"/>
          <w:szCs w:val="18"/>
          <w:color w:val="0000EE"/>
        </w:rPr>
      </w:pPr>
    </w:p>
    <w:p>
      <w:pPr>
        <w:spacing w:after="0" w:line="295"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​(d)(2)</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11"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​(d)(3)</w:t>
      </w:r>
    </w:p>
    <w:p>
      <w:pPr>
        <w:spacing w:after="0" w:line="200" w:lineRule="exact"/>
        <w:rPr>
          <w:rFonts w:ascii="Times New Roman" w:cs="Times New Roman" w:eastAsia="Times New Roman" w:hAnsi="Times New Roman"/>
          <w:sz w:val="18"/>
          <w:szCs w:val="18"/>
          <w:color w:val="0000EE"/>
        </w:rPr>
      </w:pPr>
    </w:p>
    <w:p>
      <w:pPr>
        <w:spacing w:after="0" w:line="295"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​(d)(4)</w:t>
      </w:r>
    </w:p>
    <w:p>
      <w:pPr>
        <w:spacing w:after="0" w:line="200" w:lineRule="exact"/>
        <w:rPr>
          <w:rFonts w:ascii="Times New Roman" w:cs="Times New Roman" w:eastAsia="Times New Roman" w:hAnsi="Times New Roman"/>
          <w:sz w:val="18"/>
          <w:szCs w:val="18"/>
          <w:color w:val="0000EE"/>
        </w:rPr>
      </w:pPr>
    </w:p>
    <w:p>
      <w:pPr>
        <w:spacing w:after="0" w:line="295"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​(d)(5)</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25"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​(d)(6)</w:t>
      </w:r>
    </w:p>
    <w:p>
      <w:pPr>
        <w:spacing w:after="0" w:line="200" w:lineRule="exact"/>
        <w:rPr>
          <w:rFonts w:ascii="Times New Roman" w:cs="Times New Roman" w:eastAsia="Times New Roman" w:hAnsi="Times New Roman"/>
          <w:sz w:val="18"/>
          <w:szCs w:val="18"/>
          <w:color w:val="0000EE"/>
        </w:rPr>
      </w:pPr>
    </w:p>
    <w:p>
      <w:pPr>
        <w:spacing w:after="0" w:line="309"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63" w:lineRule="exact"/>
        <w:rPr>
          <w:rFonts w:ascii="Times New Roman" w:cs="Times New Roman" w:eastAsia="Times New Roman" w:hAnsi="Times New Roman"/>
          <w:sz w:val="18"/>
          <w:szCs w:val="18"/>
          <w:color w:val="0000EE"/>
        </w:rPr>
      </w:pPr>
    </w:p>
    <w:p>
      <w:pPr>
        <w:spacing w:after="0" w:line="1" w:lineRule="exact"/>
        <w:rPr>
          <w:rFonts w:ascii="Times New Roman" w:cs="Times New Roman" w:eastAsia="Times New Roman" w:hAnsi="Times New Roman"/>
          <w:sz w:val="1"/>
          <w:szCs w:val="1"/>
          <w:color w:val="0000EE"/>
        </w:rPr>
      </w:pPr>
    </w:p>
    <w:tbl>
      <w:tblPr>
        <w:tblLayout w:type="fixed"/>
        <w:tblInd w:w="0" w:type="dxa"/>
        <w:tblCellMar>
          <w:top w:w="0" w:type="dxa"/>
          <w:left w:w="0" w:type="dxa"/>
          <w:bottom w:w="0" w:type="dxa"/>
          <w:right w:w="0" w:type="dxa"/>
        </w:tblCellMar>
      </w:tblPr>
      <w:tr>
        <w:trPr>
          <w:trHeight w:val="221"/>
        </w:trPr>
        <w:tc>
          <w:tcPr>
            <w:tcW w:w="7120" w:type="dxa"/>
            <w:vAlign w:val="bottom"/>
            <w:gridSpan w:val="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8">
              <w:r>
                <w:rPr>
                  <w:rFonts w:ascii="Times New Roman" w:cs="Times New Roman" w:eastAsia="Times New Roman" w:hAnsi="Times New Roman"/>
                  <w:sz w:val="18"/>
                  <w:szCs w:val="18"/>
                  <w:color w:val="0000EE"/>
                </w:rPr>
                <w:t>Line of Credit Note, dated as of September 11, 2025, by and among Moatable US Holdco,</w:t>
              </w:r>
            </w:hyperlink>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5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Inc., Lofty, Inc. and Trucker Path, Inc., as borrowers, and PNC Bank, National Association,</w:t>
              </w:r>
            </w:hyperlink>
          </w:p>
        </w:tc>
        <w:tc>
          <w:tcPr>
            <w:tcW w:w="24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6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as the lender party thereto (incorporated by reference to Exhibit 10.2 of the Company’s</w:t>
              </w:r>
            </w:hyperlink>
          </w:p>
        </w:tc>
        <w:tc>
          <w:tcPr>
            <w:tcW w:w="3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6920" w:type="dxa"/>
            <w:vAlign w:val="bottom"/>
            <w:gridSpan w:val="4"/>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Current Report on Form 8-K filed with the SEC on September 12, 2025).</w:t>
              </w:r>
            </w:hyperlink>
          </w:p>
        </w:tc>
        <w:tc>
          <w:tcPr>
            <w:tcW w:w="24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5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9">
        <w:r>
          <w:rPr>
            <w:rFonts w:ascii="Times New Roman" w:cs="Times New Roman" w:eastAsia="Times New Roman" w:hAnsi="Times New Roman"/>
            <w:sz w:val="18"/>
            <w:szCs w:val="18"/>
            <w:u w:val="single" w:color="auto"/>
            <w:color w:val="0000EE"/>
          </w:rPr>
          <w:t>Pledge Agreement, dated as of September 11, 2025, by and among Moatable US Holdco, Inc.,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64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Trucker Path, Inc. and PNC Bank, National Association (incorporated by reference to</w:t>
              </w:r>
            </w:hyperlink>
          </w:p>
        </w:tc>
        <w:tc>
          <w:tcPr>
            <w:tcW w:w="64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200" w:type="dxa"/>
            <w:vAlign w:val="bottom"/>
          </w:tcPr>
          <w:p>
            <w:pPr>
              <w:spacing w:after="0"/>
              <w:rPr>
                <w:sz w:val="17"/>
                <w:szCs w:val="17"/>
                <w:color w:val="auto"/>
              </w:rPr>
            </w:pPr>
          </w:p>
        </w:tc>
        <w:tc>
          <w:tcPr>
            <w:tcW w:w="7100" w:type="dxa"/>
            <w:vAlign w:val="bottom"/>
            <w:gridSpan w:val="12"/>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10.3 of the Company’s Current Report on Form 8-K filed with the SEC on</w:t>
              </w:r>
            </w:hyperlink>
          </w:p>
        </w:tc>
        <w:tc>
          <w:tcPr>
            <w:tcW w:w="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September 12, 2025).</w:t>
              </w:r>
            </w:hyperlink>
          </w:p>
        </w:tc>
        <w:tc>
          <w:tcPr>
            <w:tcW w:w="4580" w:type="dxa"/>
            <w:vAlign w:val="bottom"/>
            <w:tcBorders>
              <w:top w:val="single" w:sz="8" w:color="0000EE"/>
            </w:tcBorders>
            <w:gridSpan w:val="3"/>
          </w:tcPr>
          <w:p>
            <w:pPr>
              <w:spacing w:after="0"/>
              <w:rPr>
                <w:sz w:val="17"/>
                <w:szCs w:val="17"/>
                <w:color w:val="auto"/>
              </w:rPr>
            </w:pPr>
          </w:p>
        </w:tc>
        <w:tc>
          <w:tcPr>
            <w:tcW w:w="90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730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0">
              <w:r>
                <w:rPr>
                  <w:rFonts w:ascii="Times New Roman" w:cs="Times New Roman" w:eastAsia="Times New Roman" w:hAnsi="Times New Roman"/>
                  <w:sz w:val="18"/>
                  <w:szCs w:val="18"/>
                  <w:color w:val="0000EE"/>
                </w:rPr>
                <w:t>Deposit Agreement (incorporated by reference to Exhibit 4.3 from the registration statement</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on Form S-8 (File No. 333-177366) filed publicly with the Securities and Exchange</w:t>
              </w:r>
            </w:hyperlink>
          </w:p>
        </w:tc>
        <w:tc>
          <w:tcPr>
            <w:tcW w:w="640" w:type="dxa"/>
            <w:vAlign w:val="bottom"/>
            <w:tcBorders>
              <w:top w:val="single" w:sz="8" w:color="0000EE"/>
            </w:tcBorders>
            <w:gridSpan w:val="4"/>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7100" w:type="dxa"/>
            <w:vAlign w:val="bottom"/>
            <w:gridSpan w:val="12"/>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Commission October 18, 2011).</w:t>
              </w:r>
            </w:hyperlink>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30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1">
              <w:r>
                <w:rPr>
                  <w:rFonts w:ascii="Times New Roman" w:cs="Times New Roman" w:eastAsia="Times New Roman" w:hAnsi="Times New Roman"/>
                  <w:sz w:val="18"/>
                  <w:szCs w:val="18"/>
                  <w:color w:val="0000EE"/>
                </w:rPr>
                <w:t>Amended and Restated Memorandum and Articles of Association of the Registrant</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100" w:type="dxa"/>
            <w:vAlign w:val="bottom"/>
            <w:gridSpan w:val="12"/>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(incorporated by reference to Exhibit 3.1 from the Quarterly Report on Form 10-Q (File</w:t>
              </w:r>
            </w:hyperlink>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No. 001-35147) filed publicly with the Securities and Exchange Commission on August 14,</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680" w:type="dxa"/>
            <w:vAlign w:val="bottom"/>
            <w:gridSpan w:val="2"/>
          </w:tcPr>
          <w:p>
            <w:pPr>
              <w:ind w:left="200"/>
              <w:spacing w:after="0" w:line="19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2023).</w:t>
              </w:r>
            </w:hyperlink>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30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2">
              <w:r>
                <w:rPr>
                  <w:rFonts w:ascii="Times New Roman" w:cs="Times New Roman" w:eastAsia="Times New Roman" w:hAnsi="Times New Roman"/>
                  <w:sz w:val="18"/>
                  <w:szCs w:val="18"/>
                  <w:color w:val="0000EE"/>
                </w:rPr>
                <w:t>Specimen American Depositary Receipt of the Registrant (incorporated by reference to</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Exhibit 4.1 from the Registration Statement on Form F-1 (File No. 333-173548) filed publicly</w:t>
              </w:r>
            </w:hyperlink>
          </w:p>
        </w:tc>
        <w:tc>
          <w:tcPr>
            <w:tcW w:w="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5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with the Securities and Exchange Commission on April 15, 2011).</w:t>
              </w:r>
            </w:hyperlink>
          </w:p>
        </w:tc>
        <w:tc>
          <w:tcPr>
            <w:tcW w:w="2100" w:type="dxa"/>
            <w:vAlign w:val="bottom"/>
            <w:gridSpan w:val="8"/>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7300" w:type="dxa"/>
            <w:vAlign w:val="bottom"/>
            <w:gridSpan w:val="1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3">
              <w:r>
                <w:rPr>
                  <w:rFonts w:ascii="Times New Roman" w:cs="Times New Roman" w:eastAsia="Times New Roman" w:hAnsi="Times New Roman"/>
                  <w:sz w:val="18"/>
                  <w:szCs w:val="18"/>
                  <w:color w:val="0000EE"/>
                </w:rPr>
                <w:t>Specimen Class A Ordinary Share Certificate of the Registrant (incorporated by reference to</w:t>
              </w:r>
            </w:hyperlink>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6960" w:type="dxa"/>
            <w:vAlign w:val="bottom"/>
            <w:gridSpan w:val="11"/>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Exhibit 4.2 from the Registration Statement on Form F-1 (File No. 333-173548) filed publicly</w:t>
              </w:r>
            </w:hyperlink>
          </w:p>
        </w:tc>
        <w:tc>
          <w:tcPr>
            <w:tcW w:w="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5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with the Securities and Exchange Commission on April 15, 2011).</w:t>
              </w:r>
            </w:hyperlink>
          </w:p>
        </w:tc>
        <w:tc>
          <w:tcPr>
            <w:tcW w:w="2100" w:type="dxa"/>
            <w:vAlign w:val="bottom"/>
            <w:gridSpan w:val="8"/>
          </w:tcPr>
          <w:p>
            <w:pPr>
              <w:spacing w:after="0"/>
              <w:rPr>
                <w:sz w:val="17"/>
                <w:szCs w:val="17"/>
                <w:color w:val="auto"/>
              </w:rPr>
            </w:pPr>
          </w:p>
        </w:tc>
        <w:tc>
          <w:tcPr>
            <w:tcW w:w="60" w:type="dxa"/>
            <w:vAlign w:val="bottom"/>
          </w:tcPr>
          <w:p>
            <w:pPr>
              <w:spacing w:after="0"/>
              <w:rPr>
                <w:sz w:val="17"/>
                <w:szCs w:val="17"/>
                <w:color w:val="auto"/>
              </w:rPr>
            </w:pPr>
          </w:p>
        </w:tc>
      </w:tr>
    </w:tbl>
    <w:p>
      <w:pPr>
        <w:spacing w:after="0" w:line="36" w:lineRule="exact"/>
        <w:rPr>
          <w:sz w:val="20"/>
          <w:szCs w:val="20"/>
          <w:color w:val="auto"/>
        </w:rPr>
      </w:pPr>
    </w:p>
    <w:p>
      <w:pPr>
        <w:ind w:left="200" w:right="359" w:hanging="202"/>
        <w:spacing w:after="0" w:line="27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 </w:t>
      </w:r>
      <w:hyperlink r:id="rId24">
        <w:r>
          <w:rPr>
            <w:rFonts w:ascii="Times New Roman" w:cs="Times New Roman" w:eastAsia="Times New Roman" w:hAnsi="Times New Roman"/>
            <w:sz w:val="18"/>
            <w:szCs w:val="18"/>
            <w:u w:val="single" w:color="auto"/>
            <w:color w:val="0000EE"/>
          </w:rPr>
          <w:t>Amended and Restated Investors’ Rights Agreement between the Registrant and other parties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therein, dated as of April 4, 2008, as amended (incorporated by reference to Exhibit 4.6 from</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the Registration Statement on Form F-1 (File No. 333-173548) filed publicly with the</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Securities and Exchange Commission on April 15, 2011).</w:t>
        </w:r>
      </w:hyperlink>
    </w:p>
    <w:tbl>
      <w:tblPr>
        <w:tblLayout w:type="fixed"/>
        <w:tblInd w:w="0" w:type="dxa"/>
        <w:tblCellMar>
          <w:top w:w="0" w:type="dxa"/>
          <w:left w:w="0" w:type="dxa"/>
          <w:bottom w:w="0" w:type="dxa"/>
          <w:right w:w="0" w:type="dxa"/>
        </w:tblCellMar>
      </w:tblPr>
      <w:tr>
        <w:trPr>
          <w:trHeight w:val="221"/>
        </w:trPr>
        <w:tc>
          <w:tcPr>
            <w:tcW w:w="704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5">
              <w:r>
                <w:rPr>
                  <w:rFonts w:ascii="Times New Roman" w:cs="Times New Roman" w:eastAsia="Times New Roman" w:hAnsi="Times New Roman"/>
                  <w:sz w:val="18"/>
                  <w:szCs w:val="18"/>
                  <w:color w:val="0000EE"/>
                </w:rPr>
                <w:t>Moatable, Inc. 2006 Equity Incentive Plan (incorporated by reference to Exhibit 10.1 from</w:t>
              </w:r>
            </w:hyperlink>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0" w:type="dxa"/>
            <w:vAlign w:val="bottom"/>
          </w:tcPr>
          <w:p>
            <w:pPr>
              <w:spacing w:after="0"/>
              <w:rPr>
                <w:sz w:val="17"/>
                <w:szCs w:val="17"/>
                <w:color w:val="auto"/>
              </w:rPr>
            </w:pPr>
          </w:p>
        </w:tc>
        <w:tc>
          <w:tcPr>
            <w:tcW w:w="68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the Registration Statement on Form F-1 (File No. 333-173548) filed publicly with the</w:t>
              </w:r>
            </w:hyperlink>
          </w:p>
        </w:tc>
        <w:tc>
          <w:tcPr>
            <w:tcW w:w="3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4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Securities and Exchange Commission on April 15, 2011).</w:t>
              </w:r>
            </w:hyperlink>
          </w:p>
        </w:tc>
        <w:tc>
          <w:tcPr>
            <w:tcW w:w="2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4"/>
        </w:trPr>
        <w:tc>
          <w:tcPr>
            <w:tcW w:w="704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6">
              <w:r>
                <w:rPr>
                  <w:rFonts w:ascii="Times New Roman" w:cs="Times New Roman" w:eastAsia="Times New Roman" w:hAnsi="Times New Roman"/>
                  <w:sz w:val="18"/>
                  <w:szCs w:val="18"/>
                  <w:color w:val="0000EE"/>
                </w:rPr>
                <w:t>Moatable, Inc. 2008 Equity Incentive Plan (incorporated by reference to Exhibit 10.2 from</w:t>
              </w:r>
            </w:hyperlink>
          </w:p>
        </w:tc>
        <w:tc>
          <w:tcPr>
            <w:tcW w:w="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0" w:type="dxa"/>
            <w:vAlign w:val="bottom"/>
          </w:tcPr>
          <w:p>
            <w:pPr>
              <w:spacing w:after="0"/>
              <w:rPr>
                <w:sz w:val="17"/>
                <w:szCs w:val="17"/>
                <w:color w:val="auto"/>
              </w:rPr>
            </w:pPr>
          </w:p>
        </w:tc>
        <w:tc>
          <w:tcPr>
            <w:tcW w:w="68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the Registration Statement on Form F-1 (File No. 333-173548) filed publicly with the</w:t>
              </w:r>
            </w:hyperlink>
          </w:p>
        </w:tc>
        <w:tc>
          <w:tcPr>
            <w:tcW w:w="32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43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Securities and Exchange Commission on April 15, 2011).</w:t>
              </w:r>
            </w:hyperlink>
          </w:p>
        </w:tc>
        <w:tc>
          <w:tcPr>
            <w:tcW w:w="2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1700" w:space="460"/>
            <w:col w:w="7719"/>
          </w:cols>
          <w:pgMar w:left="580" w:top="97" w:right="1440" w:bottom="1440" w:gutter="0" w:footer="0" w:header="0"/>
          <w:type w:val="continuous"/>
        </w:sect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36195</wp:posOffset>
            </wp:positionV>
            <wp:extent cx="548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​(d)(8)</w:t>
      </w: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​(d)(9)</w:t>
      </w: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​(d)(10)</w:t>
      </w: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​(d)(11)</w:t>
      </w:r>
    </w:p>
    <w:p>
      <w:pPr>
        <w:spacing w:after="0" w:line="200" w:lineRule="exact"/>
        <w:rPr>
          <w:sz w:val="20"/>
          <w:szCs w:val="20"/>
          <w:color w:val="auto"/>
        </w:rPr>
      </w:pP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​(d)(12)</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​(d)(13)</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​(d)(14)</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31"/>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68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Moatable, Inc. 2009 Equity Incentive Plan (incorporated by reference to Exhibit 10.3 from</w:t>
              </w:r>
            </w:hyperlink>
          </w:p>
        </w:tc>
        <w:tc>
          <w:tcPr>
            <w:tcW w:w="280" w:type="dxa"/>
            <w:vAlign w:val="bottom"/>
            <w:gridSpan w:val="10"/>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the Registration Statement on Form F-1 (File No. 333-173548) filed publicly with the</w:t>
              </w:r>
            </w:hyperlink>
          </w:p>
        </w:tc>
        <w:tc>
          <w:tcPr>
            <w:tcW w:w="640" w:type="dxa"/>
            <w:vAlign w:val="bottom"/>
            <w:gridSpan w:val="2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Securities and Exchange Commission on April 15, 2011).</w:t>
              </w:r>
            </w:hyperlink>
          </w:p>
        </w:tc>
        <w:tc>
          <w:tcPr>
            <w:tcW w:w="2780" w:type="dxa"/>
            <w:vAlign w:val="bottom"/>
            <w:gridSpan w:val="2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140" w:type="dxa"/>
            <w:vAlign w:val="bottom"/>
            <w:gridSpan w:val="35"/>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 xml:space="preserve">Moatable, Inc. 2011 Share Incentive Plan (incorporated by reference to Exhibit 10.1 from the </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Registration Statement on Form S-8 (File No. 333-209734) filed publicly with the Securities</w:t>
              </w:r>
            </w:hyperlink>
          </w:p>
        </w:tc>
        <w:tc>
          <w:tcPr>
            <w:tcW w:w="4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and Exchange Commission on February 26, 2016).</w:t>
              </w:r>
            </w:hyperlink>
          </w:p>
        </w:tc>
        <w:tc>
          <w:tcPr>
            <w:tcW w:w="3280" w:type="dxa"/>
            <w:vAlign w:val="bottom"/>
            <w:gridSpan w:val="2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gridSpan w:val="3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color w:val="0000EE"/>
                </w:rPr>
                <w:t>Moatable, Inc. 2016 Share Incentive Plan (incorporated by reference to Exhibit 10.2 from the</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Registration Statement on Form S-8 (File No. 333-209734) filed publicly with the Securities</w:t>
              </w:r>
            </w:hyperlink>
          </w:p>
        </w:tc>
        <w:tc>
          <w:tcPr>
            <w:tcW w:w="4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and Exchange Commission on February 25, 2016).</w:t>
              </w:r>
            </w:hyperlink>
          </w:p>
        </w:tc>
        <w:tc>
          <w:tcPr>
            <w:tcW w:w="3280" w:type="dxa"/>
            <w:vAlign w:val="bottom"/>
            <w:gridSpan w:val="2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gridSpan w:val="3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color w:val="0000EE"/>
                </w:rPr>
                <w:t>Moatable, Inc. 2018 Share Incentive Plan (incorporated by reference to Exhibit 10.1 from the</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Registration Statement on Form S-8 (File No. 333-227886) filed publicly with the Securities</w:t>
              </w:r>
            </w:hyperlink>
          </w:p>
        </w:tc>
        <w:tc>
          <w:tcPr>
            <w:tcW w:w="4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and Exchange Commission on October 19, 2018).</w:t>
              </w:r>
            </w:hyperlink>
          </w:p>
        </w:tc>
        <w:tc>
          <w:tcPr>
            <w:tcW w:w="3360" w:type="dxa"/>
            <w:vAlign w:val="bottom"/>
            <w:gridSpan w:val="3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gridSpan w:val="3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color w:val="0000EE"/>
                </w:rPr>
                <w:t>Moatable, Inc. 2021 Share Incentive Plan (incorporated by reference to Exhibit 99.2 from the</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report on Form 6-K (File No. 001-35147) filed publicly with the Securities and Exchange</w:t>
              </w:r>
            </w:hyperlink>
          </w:p>
        </w:tc>
        <w:tc>
          <w:tcPr>
            <w:tcW w:w="280" w:type="dxa"/>
            <w:vAlign w:val="bottom"/>
            <w:tcBorders>
              <w:top w:val="single" w:sz="8" w:color="0000EE"/>
            </w:tcBorders>
            <w:gridSpan w:val="10"/>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gridSpan w:val="3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Commission on November 4, 2021).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7100" w:type="dxa"/>
            <w:vAlign w:val="bottom"/>
            <w:gridSpan w:val="34"/>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Moatable, Inc. Form of Share Option Award Agreement (incorporated by reference to</w:t>
              </w:r>
            </w:hyperlink>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Exhibit 10.8 from the Registration Statement on Form 10-K (File No. 001-35147) filed</w:t>
              </w:r>
            </w:hyperlink>
          </w:p>
        </w:tc>
        <w:tc>
          <w:tcPr>
            <w:tcW w:w="54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publicly with the Securities and Exchange Commission on March 31, 2023)</w:t>
              </w:r>
            </w:hyperlink>
          </w:p>
        </w:tc>
        <w:tc>
          <w:tcPr>
            <w:tcW w:w="1400" w:type="dxa"/>
            <w:vAlign w:val="bottom"/>
            <w:gridSpan w:val="2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140" w:type="dxa"/>
            <w:vAlign w:val="bottom"/>
            <w:gridSpan w:val="35"/>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 xml:space="preserve">Moatable, Inc. Form of Restricted Share Unit Award Agreement (incorporated by reference to </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Exhibit 10.9 from the Registration Statement on Form 10-K (File No. 001-35147) filed</w:t>
              </w:r>
            </w:hyperlink>
          </w:p>
        </w:tc>
        <w:tc>
          <w:tcPr>
            <w:tcW w:w="540" w:type="dxa"/>
            <w:vAlign w:val="bottom"/>
            <w:tcBorders>
              <w:top w:val="single" w:sz="8" w:color="0000EE"/>
            </w:tcBorders>
            <w:gridSpan w:val="1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gridSpan w:val="3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publicly with the Securities and Exchange Commission on March 31, 2023).</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Indemnification Agreement between the Registrant and its directors and officers</w:t>
              </w:r>
            </w:hyperlink>
          </w:p>
        </w:tc>
        <w:tc>
          <w:tcPr>
            <w:tcW w:w="400" w:type="dxa"/>
            <w:vAlign w:val="bottom"/>
            <w:gridSpan w:val="14"/>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gridSpan w:val="34"/>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(incorporated by reference to Exhibit 10.5 from the Registration Statement on Form F-1 (File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No. 333-173548) filed publicly with the Securities and Exchange Commission on April 15,</w:t>
              </w:r>
            </w:hyperlink>
          </w:p>
        </w:tc>
        <w:tc>
          <w:tcPr>
            <w:tcW w:w="140" w:type="dxa"/>
            <w:vAlign w:val="bottom"/>
            <w:tcBorders>
              <w:top w:val="single" w:sz="8" w:color="0000EE"/>
            </w:tcBorders>
            <w:gridSpan w:val="5"/>
          </w:tcPr>
          <w:p>
            <w:pPr>
              <w:spacing w:after="0"/>
              <w:rPr>
                <w:sz w:val="17"/>
                <w:szCs w:val="17"/>
                <w:color w:val="auto"/>
              </w:rPr>
            </w:pPr>
          </w:p>
        </w:tc>
        <w:tc>
          <w:tcPr>
            <w:tcW w:w="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2011).</w:t>
              </w:r>
            </w:hyperlink>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70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Employment Agreement between Moatable, Inc. and Joseph Chen, dated December 31, 2022</w:t>
              </w:r>
            </w:hyperlink>
          </w:p>
        </w:tc>
        <w:tc>
          <w:tcPr>
            <w:tcW w:w="100" w:type="dxa"/>
            <w:vAlign w:val="bottom"/>
            <w:gridSpan w:val="4"/>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(incorporated by reference to Exhibit 10.19 from the Annual Report on Form 10-K (File</w:t>
              </w:r>
            </w:hyperlink>
          </w:p>
        </w:tc>
        <w:tc>
          <w:tcPr>
            <w:tcW w:w="460" w:type="dxa"/>
            <w:vAlign w:val="bottom"/>
            <w:gridSpan w:val="1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No. 001-35147) filed publicly with the Securities and Exchange Commission on March 31,</w:t>
              </w:r>
            </w:hyperlink>
          </w:p>
        </w:tc>
        <w:tc>
          <w:tcPr>
            <w:tcW w:w="22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2023).</w:t>
              </w:r>
            </w:hyperlink>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Business Operations Agreement, dated as of December 23, 2010, between Qianxiang Shiji,</w:t>
              </w:r>
            </w:hyperlink>
          </w:p>
        </w:tc>
        <w:tc>
          <w:tcPr>
            <w:tcW w:w="240" w:type="dxa"/>
            <w:vAlign w:val="bottom"/>
            <w:gridSpan w:val="9"/>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gridSpan w:val="3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Qianxiang Tiancheng and the shareholders of Qianxiang Tiancheng (incorporated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reference to Exhibit 10.7 from the Registration Statement on Form F-1 (File No. 333-173548)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filed publicly with the Securities and Exchange Commission on April 15, 2011).</w:t>
              </w:r>
            </w:hyperlink>
          </w:p>
        </w:tc>
        <w:tc>
          <w:tcPr>
            <w:tcW w:w="1040" w:type="dxa"/>
            <w:vAlign w:val="bottom"/>
            <w:gridSpan w:val="2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9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Amended and Restated Equity Option Agreements, dated as of December 23, 2010, between</w:t>
              </w:r>
            </w:hyperlink>
          </w:p>
        </w:tc>
        <w:tc>
          <w:tcPr>
            <w:tcW w:w="140" w:type="dxa"/>
            <w:vAlign w:val="bottom"/>
            <w:gridSpan w:val="6"/>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gridSpan w:val="3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Qianxiang Shiji and the shareholders of Qianxiang Tiancheng (incorporated by reference to</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Exhibit 10.8 from the Registration Statement on Form F-1 (File No. 333-173548) filed</w:t>
              </w:r>
            </w:hyperlink>
          </w:p>
        </w:tc>
        <w:tc>
          <w:tcPr>
            <w:tcW w:w="360" w:type="dxa"/>
            <w:vAlign w:val="bottom"/>
            <w:tcBorders>
              <w:top w:val="single" w:sz="8" w:color="0000EE"/>
            </w:tcBorders>
            <w:gridSpan w:val="11"/>
          </w:tcPr>
          <w:p>
            <w:pPr>
              <w:spacing w:after="0"/>
              <w:rPr>
                <w:sz w:val="17"/>
                <w:szCs w:val="17"/>
                <w:color w:val="auto"/>
              </w:rPr>
            </w:pPr>
          </w:p>
        </w:tc>
        <w:tc>
          <w:tcPr>
            <w:tcW w:w="22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publicly with the Securities and Exchange Commission on April 11, 2011).</w:t>
              </w:r>
            </w:hyperlink>
          </w:p>
        </w:tc>
        <w:tc>
          <w:tcPr>
            <w:tcW w:w="1460" w:type="dxa"/>
            <w:vAlign w:val="bottom"/>
            <w:gridSpan w:val="2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Amended and Restated Equity Interest Pledge Agreements, dated as of December 23, 2010,</w:t>
              </w:r>
            </w:hyperlink>
          </w:p>
        </w:tc>
        <w:tc>
          <w:tcPr>
            <w:tcW w:w="200" w:type="dxa"/>
            <w:vAlign w:val="bottom"/>
            <w:gridSpan w:val="7"/>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between Qianxiang Shiji and the shareholders of Qianxiang Tiancheng (incorporated by</w:t>
              </w:r>
            </w:hyperlink>
          </w:p>
        </w:tc>
        <w:tc>
          <w:tcPr>
            <w:tcW w:w="480" w:type="dxa"/>
            <w:vAlign w:val="bottom"/>
            <w:gridSpan w:val="1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reference to Exhibit 10.9 from the Registration Statement on Form F-1 (File No. 333-173548)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filed publicly with the Securities and Exchange Commission on April 11, 2011).</w:t>
              </w:r>
            </w:hyperlink>
          </w:p>
        </w:tc>
        <w:tc>
          <w:tcPr>
            <w:tcW w:w="1060" w:type="dxa"/>
            <w:vAlign w:val="bottom"/>
            <w:gridSpan w:val="2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100" w:type="dxa"/>
            <w:vAlign w:val="bottom"/>
            <w:gridSpan w:val="34"/>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Power of Attorney, dated as of December 23, 2010, by the shareholders of Qianxiang</w:t>
              </w:r>
            </w:hyperlink>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gridSpan w:val="3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Tiancheng (incorporated by reference to Exhibit 10.10 from the Registration Statement 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20" w:type="dxa"/>
            <w:vAlign w:val="bottom"/>
            <w:gridSpan w:val="5"/>
            <w:shd w:val="clear" w:color="auto" w:fill="0000EE"/>
          </w:tcPr>
          <w:p>
            <w:pPr>
              <w:spacing w:after="0" w:line="20" w:lineRule="exact"/>
              <w:rPr>
                <w:sz w:val="1"/>
                <w:szCs w:val="1"/>
                <w:color w:val="auto"/>
              </w:rPr>
            </w:pPr>
          </w:p>
        </w:tc>
        <w:tc>
          <w:tcPr>
            <w:tcW w:w="90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F-1 (File No. 333-173548) filed publicly with the Securities and Exchange Commission</w:t>
              </w:r>
            </w:hyperlink>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gridSpan w:val="3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on April 15, 2011).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1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8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Exclusive Technical Service Agreement, dated as of December 23,</w:t>
              </w:r>
            </w:hyperlink>
          </w:p>
        </w:tc>
        <w:tc>
          <w:tcPr>
            <w:tcW w:w="300" w:type="dxa"/>
            <w:vAlign w:val="bottom"/>
            <w:gridSpan w:val="11"/>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2010, between Qianxiang Shiji and Qianxiang Tiancheng (incorporated by reference to</w:t>
              </w:r>
            </w:hyperlink>
          </w:p>
        </w:tc>
        <w:tc>
          <w:tcPr>
            <w:tcW w:w="560" w:type="dxa"/>
            <w:vAlign w:val="bottom"/>
            <w:gridSpan w:val="1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Exhibit 10.13 from the Registration Statement on Form F-1 (File No. 333-173548) filed</w:t>
              </w:r>
            </w:hyperlink>
          </w:p>
        </w:tc>
        <w:tc>
          <w:tcPr>
            <w:tcW w:w="480" w:type="dxa"/>
            <w:vAlign w:val="bottom"/>
            <w:gridSpan w:val="1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gridSpan w:val="3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publicly with the Securities and Exchange Commission on April 15, 2011).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top w:val="single" w:sz="8" w:color="0000EE"/>
            </w:tcBorders>
            <w:gridSpan w:val="4"/>
          </w:tcPr>
          <w:p>
            <w:pPr>
              <w:jc w:val="right"/>
              <w:ind w:right="648"/>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235585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040" w:space="80"/>
            <w:col w:w="775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36195</wp:posOffset>
            </wp:positionV>
            <wp:extent cx="548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
        <w:spacing w:after="0"/>
        <w:tabs>
          <w:tab w:leader="none" w:pos="3415"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36195</wp:posOffset>
            </wp:positionV>
            <wp:extent cx="45173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41" w:lineRule="exact"/>
        <w:rPr>
          <w:sz w:val="20"/>
          <w:szCs w:val="20"/>
          <w:color w:val="auto"/>
        </w:rPr>
      </w:pPr>
    </w:p>
    <w:p>
      <w:pPr>
        <w:ind w:left="216" w:hanging="216"/>
        <w:spacing w:after="0" w:line="261" w:lineRule="auto"/>
        <w:tabs>
          <w:tab w:leader="none" w:pos="108"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Amended and Restated Intellectual Property Right License Agreement, dated as of</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December 23, 2010, between Qianxiang Shiji and Qianxiang Tiancheng (incorporated by</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reference to Exhibit 10.14 from the Registration Statement on Form F-1 (File No. 333-</w:t>
        </w:r>
      </w:hyperlink>
      <w:hyperlink r:id="rId46">
        <w:r>
          <w:rPr>
            <w:rFonts w:ascii="Times New Roman" w:cs="Times New Roman" w:eastAsia="Times New Roman" w:hAnsi="Times New Roman"/>
            <w:sz w:val="18"/>
            <w:szCs w:val="18"/>
            <w:u w:val="single" w:color="auto"/>
            <w:color w:val="0000EE"/>
          </w:rPr>
          <w:t>173548) filed publicly with the Securities and Exchange Commission on April 15, 2011).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39" w:lineRule="exact"/>
        <w:rPr>
          <w:rFonts w:ascii="Times New Roman" w:cs="Times New Roman" w:eastAsia="Times New Roman" w:hAnsi="Times New Roman"/>
          <w:sz w:val="18"/>
          <w:szCs w:val="18"/>
          <w:u w:val="single" w:color="auto"/>
          <w:color w:val="0000EE"/>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rFonts w:ascii="Times New Roman" w:cs="Times New Roman" w:eastAsia="Times New Roman" w:hAnsi="Times New Roman"/>
          <w:sz w:val="18"/>
          <w:szCs w:val="18"/>
          <w:u w:val="single" w:color="auto"/>
          <w:color w:val="0000EE"/>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694" w:lineRule="exact"/>
        <w:rPr>
          <w:rFonts w:ascii="Times New Roman" w:cs="Times New Roman" w:eastAsia="Times New Roman" w:hAnsi="Times New Roman"/>
          <w:sz w:val="18"/>
          <w:szCs w:val="18"/>
          <w:u w:val="single" w:color="auto"/>
          <w:color w:val="0000EE"/>
        </w:rPr>
      </w:pPr>
    </w:p>
    <w:p>
      <w:pPr>
        <w:sectPr>
          <w:pgSz w:w="11900" w:h="16838" w:orient="portrait"/>
          <w:cols w:equalWidth="0" w:num="3">
            <w:col w:w="2040" w:space="84"/>
            <w:col w:w="6956" w:space="38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​(d)(23)</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93" w:lineRule="exact"/>
        <w:rPr>
          <w:rFonts w:ascii="Times New Roman" w:cs="Times New Roman" w:eastAsia="Times New Roman" w:hAnsi="Times New Roman"/>
          <w:sz w:val="18"/>
          <w:szCs w:val="18"/>
          <w:u w:val="single" w:color="auto"/>
          <w:color w:val="0000EE"/>
        </w:rPr>
      </w:pPr>
    </w:p>
    <w:p>
      <w:pPr>
        <w:ind w:left="1260"/>
        <w:spacing w:after="0"/>
        <w:rPr>
          <w:sz w:val="20"/>
          <w:szCs w:val="20"/>
          <w:color w:val="auto"/>
        </w:rPr>
      </w:pPr>
      <w:r>
        <w:rPr>
          <w:rFonts w:ascii="Times New Roman" w:cs="Times New Roman" w:eastAsia="Times New Roman" w:hAnsi="Times New Roman"/>
          <w:sz w:val="18"/>
          <w:szCs w:val="18"/>
          <w:color w:val="auto"/>
        </w:rPr>
        <w:t>​(d)(24)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ind w:left="216" w:hanging="216"/>
        <w:spacing w:after="0" w:line="262" w:lineRule="auto"/>
        <w:tabs>
          <w:tab w:leader="none" w:pos="108" w:val="left"/>
        </w:tabs>
        <w:numPr>
          <w:ilvl w:val="0"/>
          <w:numId w:val="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Spousal Consents, dated as of December 23, 2010, by the shareholders of Qianxiang</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Tiancheng (incorporated by reference to Exhibit 10.11 from the Registration Statement on</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Form F-1 (File No. 333-173548) filed publicly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on April 15, 2011).</w:t>
        </w:r>
      </w:hyperlink>
    </w:p>
    <w:p>
      <w:pPr>
        <w:ind w:left="216" w:right="180" w:hanging="216"/>
        <w:spacing w:after="0" w:line="262" w:lineRule="auto"/>
        <w:tabs>
          <w:tab w:leader="none" w:pos="108" w:val="left"/>
        </w:tabs>
        <w:numPr>
          <w:ilvl w:val="0"/>
          <w:numId w:val="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Amended and Restated Loan Agreements, dated as of December 23, 2010, between</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Qianxiang Shiji and the shareholders of Qianxiang Tiancheng (incorporated by reference to</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Exhibit 10.12 from the Registration Statement on Form F-1 (File No. 333-173548) filed</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publicly with the Securities and Exchange Commission on April 15, 2011).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93"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02" w:lineRule="exact"/>
        <w:rPr>
          <w:rFonts w:ascii="Times New Roman" w:cs="Times New Roman" w:eastAsia="Times New Roman" w:hAnsi="Times New Roman"/>
          <w:sz w:val="18"/>
          <w:szCs w:val="18"/>
          <w:u w:val="single" w:color="auto"/>
          <w:color w:val="0000EE"/>
        </w:rPr>
      </w:pPr>
    </w:p>
    <w:p>
      <w:pPr>
        <w:sectPr>
          <w:pgSz w:w="11900" w:h="16838" w:orient="portrait"/>
          <w:cols w:equalWidth="0" w:num="3">
            <w:col w:w="1800" w:space="324"/>
            <w:col w:w="7296" w:space="4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​(d)(25)</w:t>
      </w:r>
    </w:p>
    <w:p>
      <w:pPr>
        <w:spacing w:after="0" w:line="391" w:lineRule="exact"/>
        <w:rPr>
          <w:rFonts w:ascii="Times New Roman" w:cs="Times New Roman" w:eastAsia="Times New Roman" w:hAnsi="Times New Roman"/>
          <w:sz w:val="18"/>
          <w:szCs w:val="18"/>
          <w:u w:val="single" w:color="auto"/>
          <w:color w:val="0000EE"/>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(g)</w:t>
      </w:r>
    </w:p>
    <w:p>
      <w:pPr>
        <w:ind w:left="1260"/>
        <w:spacing w:after="0" w:line="184" w:lineRule="auto"/>
        <w:rPr>
          <w:sz w:val="20"/>
          <w:szCs w:val="20"/>
          <w:color w:val="auto"/>
        </w:rPr>
      </w:pPr>
      <w:r>
        <w:rPr>
          <w:rFonts w:ascii="Times New Roman" w:cs="Times New Roman" w:eastAsia="Times New Roman" w:hAnsi="Times New Roman"/>
          <w:sz w:val="16"/>
          <w:szCs w:val="16"/>
          <w:color w:val="auto"/>
        </w:rPr>
        <w:t>(h)</w:t>
      </w:r>
      <w:r>
        <w:rPr>
          <w:rFonts w:ascii="Times New Roman" w:cs="Times New Roman" w:eastAsia="Times New Roman" w:hAnsi="Times New Roman"/>
          <w:sz w:val="29"/>
          <w:szCs w:val="29"/>
          <w:color w:val="auto"/>
          <w:vertAlign w:val="superscript"/>
        </w:rPr>
        <w:t>​</w:t>
      </w:r>
    </w:p>
    <w:p>
      <w:pPr>
        <w:ind w:left="1260"/>
        <w:spacing w:after="0" w:line="191" w:lineRule="auto"/>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35"/>
          <w:szCs w:val="35"/>
          <w:color w:val="auto"/>
          <w:vertAlign w:val="superscript"/>
        </w:rPr>
        <w: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220" w:type="dxa"/>
            <w:vAlign w:val="bottom"/>
            <w:gridSpan w:val="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49">
              <w:r>
                <w:rPr>
                  <w:rFonts w:ascii="Times New Roman" w:cs="Times New Roman" w:eastAsia="Times New Roman" w:hAnsi="Times New Roman"/>
                  <w:sz w:val="18"/>
                  <w:szCs w:val="18"/>
                  <w:color w:val="0000EE"/>
                </w:rPr>
                <w:t>Moatable, Inc. Incentive Compensation Recoupment Policy (incorporated by reference to</w:t>
              </w:r>
            </w:hyperlink>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Exhibit 97.1 from the Annual Report on Form 10-K (File No. 001-35147) filed publicly with</w:t>
              </w:r>
            </w:hyperlink>
          </w:p>
        </w:tc>
        <w:tc>
          <w:tcPr>
            <w:tcW w:w="1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the v on April 15, 2025).</w:t>
              </w:r>
            </w:hyperlink>
          </w:p>
        </w:tc>
        <w:tc>
          <w:tcPr>
            <w:tcW w:w="5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r>
      <w:tr>
        <w:trPr>
          <w:trHeight w:val="259"/>
        </w:trPr>
        <w:tc>
          <w:tcPr>
            <w:tcW w:w="7220" w:type="dxa"/>
            <w:vAlign w:val="bottom"/>
            <w:gridSpan w:val="5"/>
          </w:tcPr>
          <w:p>
            <w:pPr>
              <w:spacing w:after="0" w:line="259"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None</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22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None</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20" w:type="dxa"/>
            <w:vAlign w:val="bottom"/>
            <w:gridSpan w:val="5"/>
          </w:tcPr>
          <w:p>
            <w:pPr>
              <w:spacing w:after="0" w:line="247" w:lineRule="exact"/>
              <w:rPr>
                <w:rFonts w:ascii="Times New Roman" w:cs="Times New Roman" w:eastAsia="Times New Roman" w:hAnsi="Times New Roman"/>
                <w:sz w:val="15"/>
                <w:szCs w:val="15"/>
                <w:color w:val="0000EE"/>
              </w:rPr>
            </w:pPr>
            <w:hyperlink r:id="rId50"/>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28"/>
                <w:szCs w:val="28"/>
                <w:color w:val="000000"/>
                <w:vertAlign w:val="superscript"/>
              </w:rPr>
              <w:t>​</w:t>
            </w:r>
            <w:r>
              <w:rPr>
                <w:rFonts w:ascii="Times New Roman" w:cs="Times New Roman" w:eastAsia="Times New Roman" w:hAnsi="Times New Roman"/>
                <w:sz w:val="15"/>
                <w:szCs w:val="15"/>
                <w:color w:val="0000EE"/>
              </w:rPr>
              <w:t xml:space="preserve"> </w:t>
            </w:r>
            <w:hyperlink r:id="rId50">
              <w:r>
                <w:rPr>
                  <w:rFonts w:ascii="Times New Roman" w:cs="Times New Roman" w:eastAsia="Times New Roman" w:hAnsi="Times New Roman"/>
                  <w:sz w:val="15"/>
                  <w:szCs w:val="15"/>
                  <w:color w:val="0000EE"/>
                </w:rPr>
                <w:t>Filing Fee Table.</w:t>
              </w:r>
            </w:hyperlink>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163195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2" w:lineRule="exact"/>
        <w:rPr>
          <w:sz w:val="20"/>
          <w:szCs w:val="20"/>
          <w:color w:val="auto"/>
        </w:rPr>
      </w:pPr>
    </w:p>
    <w:p>
      <w:pPr>
        <w:sectPr>
          <w:pgSz w:w="11900" w:h="16838" w:orient="portrait"/>
          <w:cols w:equalWidth="0" w:num="2">
            <w:col w:w="1800" w:space="320"/>
            <w:col w:w="7759"/>
          </w:cols>
          <w:pgMar w:left="580" w:top="97" w:right="1440" w:bottom="1440" w:gutter="0" w:footer="0" w:header="0"/>
          <w:type w:val="continuous"/>
        </w:sectPr>
      </w:pPr>
    </w:p>
    <w:p>
      <w:pPr>
        <w:spacing w:after="0" w:line="68" w:lineRule="exact"/>
        <w:rPr>
          <w:sz w:val="20"/>
          <w:szCs w:val="20"/>
          <w:color w:val="auto"/>
        </w:rPr>
      </w:pPr>
    </w:p>
    <w:p>
      <w:pPr>
        <w:ind w:left="1260" w:right="7019"/>
        <w:spacing w:after="0" w:line="360"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 EXHIBIT (a)(1)(B)</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for Tender of Class A Ordinary Shares represented by American Depositary Shares, including those American</w:t>
      </w:r>
    </w:p>
    <w:p>
      <w:pPr>
        <w:spacing w:after="0" w:line="4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Depositary Shares subject to transfer restrictions (collectively, “ADSs”)</w:t>
      </w:r>
    </w:p>
    <w:p>
      <w:pPr>
        <w:spacing w:after="0" w:line="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Pursuant to the Offer to Purchase for cash, dated September 3, 2025, as amended by the Supplemental</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Notice, dated September 12, 2025</w:t>
      </w:r>
    </w:p>
    <w:p>
      <w:pPr>
        <w:spacing w:after="0" w:line="14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Up to 225,000,000 of its Class A Ordinary Shares (including Class A Ordinary Shares represented by ADSs)</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at a Purchase Price of $3.00/45 per Class A Ordinary Share (or $3.00 per ADS)</w:t>
      </w:r>
    </w:p>
    <w:p>
      <w:pPr>
        <w:spacing w:after="0" w:line="149" w:lineRule="exact"/>
        <w:rPr>
          <w:sz w:val="20"/>
          <w:szCs w:val="20"/>
          <w:color w:val="auto"/>
        </w:rPr>
      </w:pPr>
    </w:p>
    <w:p>
      <w:pPr>
        <w:jc w:val="center"/>
        <w:ind w:left="1780" w:right="140"/>
        <w:spacing w:after="0" w:line="267" w:lineRule="auto"/>
        <w:rPr>
          <w:sz w:val="20"/>
          <w:szCs w:val="20"/>
          <w:color w:val="auto"/>
        </w:rPr>
      </w:pPr>
      <w:r>
        <w:rPr>
          <w:rFonts w:ascii="Times New Roman" w:cs="Times New Roman" w:eastAsia="Times New Roman" w:hAnsi="Times New Roman"/>
          <w:sz w:val="18"/>
          <w:szCs w:val="18"/>
          <w:b w:val="1"/>
          <w:bCs w:val="1"/>
          <w:color w:val="auto"/>
        </w:rPr>
        <w:t>THE OFFER, PRORATION PERIOD AND WITHDRAWAL RIGHTS WILL EXPIRE AT 12:00 MIDNIGHT, NEW YORK CITY TIME, AT THE END OF THE DAY ON SEPTEMBER 30, 2025, UNLESS THE OFFER IS EXTENDED OR TERMINATED (SUCH DATE AND TIME, AS THEY MAY BE EXTENDED, THE “EXPIRATION TIME”).</w:t>
      </w:r>
    </w:p>
    <w:p>
      <w:pPr>
        <w:spacing w:after="0" w:line="120" w:lineRule="exact"/>
        <w:rPr>
          <w:sz w:val="20"/>
          <w:szCs w:val="20"/>
          <w:color w:val="auto"/>
        </w:rPr>
      </w:pPr>
    </w:p>
    <w:p>
      <w:pPr>
        <w:jc w:val="center"/>
        <w:ind w:left="1780" w:right="100"/>
        <w:spacing w:after="0" w:line="267" w:lineRule="auto"/>
        <w:rPr>
          <w:sz w:val="20"/>
          <w:szCs w:val="20"/>
          <w:color w:val="auto"/>
        </w:rPr>
      </w:pPr>
      <w:r>
        <w:rPr>
          <w:rFonts w:ascii="Times New Roman" w:cs="Times New Roman" w:eastAsia="Times New Roman" w:hAnsi="Times New Roman"/>
          <w:sz w:val="18"/>
          <w:szCs w:val="18"/>
          <w:i w:val="1"/>
          <w:iCs w:val="1"/>
          <w:color w:val="auto"/>
        </w:rPr>
        <w:t>This Letter of Transmittal should be (a) completed and signed in the space provided below and in the space provided on the IRS Form W-9 below (or an appropriate IRS Form W-8, as applicable) and (b) mailed to Citibank, N.A, as Tender Agent (the “Tender Agent”), at one of the following addresses: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7"/>
                <w:szCs w:val="17"/>
                <w:color w:val="auto"/>
              </w:rPr>
            </w:pPr>
          </w:p>
        </w:tc>
        <w:tc>
          <w:tcPr>
            <w:tcW w:w="198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i w:val="1"/>
                <w:iCs w:val="1"/>
                <w:color w:val="auto"/>
              </w:rPr>
              <w:t>By Mail:</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7"/>
                <w:szCs w:val="17"/>
                <w:color w:val="auto"/>
              </w:rPr>
            </w:pPr>
          </w:p>
        </w:tc>
        <w:tc>
          <w:tcPr>
            <w:tcW w:w="24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rPr>
              <w:t>By Overnight Courier:</w:t>
            </w:r>
          </w:p>
        </w:tc>
        <w:tc>
          <w:tcPr>
            <w:tcW w:w="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8"/>
        </w:trPr>
        <w:tc>
          <w:tcPr>
            <w:tcW w:w="400" w:type="dxa"/>
            <w:vAlign w:val="bottom"/>
          </w:tcPr>
          <w:p>
            <w:pPr>
              <w:spacing w:after="0"/>
              <w:rPr>
                <w:sz w:val="18"/>
                <w:szCs w:val="18"/>
                <w:color w:val="auto"/>
              </w:rPr>
            </w:pPr>
          </w:p>
        </w:tc>
        <w:tc>
          <w:tcPr>
            <w:tcW w:w="3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Citibank, N.A.</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rPr>
              <w:t>Citibank, N.A.</w:t>
            </w:r>
          </w:p>
        </w:tc>
        <w:tc>
          <w:tcPr>
            <w:tcW w:w="4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3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 Voluntary Corporate Actions</w:t>
            </w:r>
          </w:p>
        </w:tc>
        <w:tc>
          <w:tcPr>
            <w:tcW w:w="960" w:type="dxa"/>
            <w:vAlign w:val="bottom"/>
          </w:tcPr>
          <w:p>
            <w:pPr>
              <w:spacing w:after="0"/>
              <w:rPr>
                <w:sz w:val="18"/>
                <w:szCs w:val="18"/>
                <w:color w:val="auto"/>
              </w:rPr>
            </w:pPr>
          </w:p>
        </w:tc>
        <w:tc>
          <w:tcPr>
            <w:tcW w:w="3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c/o Voluntary Corporate Actions</w:t>
            </w:r>
          </w:p>
        </w:tc>
        <w:tc>
          <w:tcPr>
            <w:tcW w:w="4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3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P.O. Box 43011</w:t>
            </w:r>
          </w:p>
        </w:tc>
        <w:tc>
          <w:tcPr>
            <w:tcW w:w="960" w:type="dxa"/>
            <w:vAlign w:val="bottom"/>
          </w:tcPr>
          <w:p>
            <w:pPr>
              <w:spacing w:after="0"/>
              <w:rPr>
                <w:sz w:val="18"/>
                <w:szCs w:val="18"/>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150 Royall Street, Suite V</w:t>
            </w:r>
          </w:p>
        </w:tc>
        <w:tc>
          <w:tcPr>
            <w:tcW w:w="46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3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Providence, RI 02940-3011</w:t>
            </w: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Canton, MA 02021</w:t>
            </w:r>
          </w:p>
        </w:tc>
        <w:tc>
          <w:tcPr>
            <w:tcW w:w="460" w:type="dxa"/>
            <w:vAlign w:val="bottom"/>
          </w:tcPr>
          <w:p>
            <w:pPr>
              <w:spacing w:after="0"/>
              <w:rPr>
                <w:sz w:val="20"/>
                <w:szCs w:val="20"/>
                <w:color w:val="auto"/>
              </w:rPr>
            </w:pPr>
          </w:p>
        </w:tc>
      </w:tr>
    </w:tbl>
    <w:p>
      <w:pPr>
        <w:spacing w:after="0" w:line="15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For Information:</w:t>
      </w:r>
    </w:p>
    <w:p>
      <w:pPr>
        <w:spacing w:after="0" w:line="2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Georgeson LLC</w:t>
      </w:r>
    </w:p>
    <w:p>
      <w:pPr>
        <w:jc w:val="center"/>
        <w:ind w:right="-800"/>
        <w:spacing w:after="0" w:line="217" w:lineRule="auto"/>
        <w:rPr>
          <w:sz w:val="20"/>
          <w:szCs w:val="20"/>
          <w:color w:val="auto"/>
        </w:rPr>
      </w:pPr>
      <w:r>
        <w:rPr>
          <w:rFonts w:ascii="Times New Roman" w:cs="Times New Roman" w:eastAsia="Times New Roman" w:hAnsi="Times New Roman"/>
          <w:sz w:val="18"/>
          <w:szCs w:val="18"/>
          <w:color w:val="auto"/>
        </w:rPr>
        <w:t>51 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Call U.S. Toll-Free: +1 (866) 585-6991</w:t>
      </w:r>
    </w:p>
    <w:p>
      <w:pPr>
        <w:spacing w:after="0" w:line="2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Call International: +1 (518) 861-3759</w:t>
      </w:r>
    </w:p>
    <w:p>
      <w:pPr>
        <w:spacing w:after="0" w:line="153"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Pursuant to the Offer to Purchase, the undersigned tenders the following ADSs of Moatable, Inc. (the “Company”):</w:t>
      </w:r>
    </w:p>
    <w:p>
      <w:pPr>
        <w:spacing w:after="0" w:line="119" w:lineRule="exact"/>
        <w:rPr>
          <w:sz w:val="20"/>
          <w:szCs w:val="20"/>
          <w:color w:val="auto"/>
        </w:rPr>
      </w:pPr>
    </w:p>
    <w:tbl>
      <w:tblPr>
        <w:tblLayout w:type="fixed"/>
        <w:tblInd w:w="1270" w:type="dxa"/>
        <w:tblCellMar>
          <w:top w:w="0" w:type="dxa"/>
          <w:left w:w="0" w:type="dxa"/>
          <w:bottom w:w="0" w:type="dxa"/>
          <w:right w:w="0" w:type="dxa"/>
        </w:tblCellMar>
      </w:tblPr>
      <w:tr>
        <w:trPr>
          <w:trHeight w:val="324"/>
        </w:trPr>
        <w:tc>
          <w:tcPr>
            <w:tcW w:w="2560" w:type="dxa"/>
            <w:vAlign w:val="bottom"/>
            <w:tcBorders>
              <w:top w:val="single" w:sz="8" w:color="auto"/>
              <w:left w:val="single" w:sz="8" w:color="auto"/>
              <w:bottom w:val="single" w:sz="8" w:color="auto"/>
            </w:tcBorders>
            <w:gridSpan w:val="2"/>
          </w:tcPr>
          <w:p>
            <w:pPr>
              <w:ind w:left="20"/>
              <w:spacing w:after="0" w:line="324" w:lineRule="exact"/>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ITEM A:</w:t>
            </w:r>
          </w:p>
        </w:tc>
        <w:tc>
          <w:tcPr>
            <w:tcW w:w="3620" w:type="dxa"/>
            <w:vAlign w:val="bottom"/>
            <w:tcBorders>
              <w:top w:val="single" w:sz="8" w:color="auto"/>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ADSs TENDERED</w:t>
            </w:r>
          </w:p>
        </w:tc>
        <w:tc>
          <w:tcPr>
            <w:tcW w:w="15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7"/>
        </w:trPr>
        <w:tc>
          <w:tcPr>
            <w:tcW w:w="2560" w:type="dxa"/>
            <w:vAlign w:val="bottom"/>
            <w:tcBorders>
              <w:left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  Names(s) and Address(es) of</w:t>
            </w:r>
          </w:p>
        </w:tc>
        <w:tc>
          <w:tcPr>
            <w:tcW w:w="200" w:type="dxa"/>
            <w:vAlign w:val="bottom"/>
            <w:tcBorders>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spacing w:after="0"/>
              <w:rPr>
                <w:sz w:val="16"/>
                <w:szCs w:val="16"/>
                <w:color w:val="auto"/>
              </w:rPr>
            </w:pPr>
          </w:p>
        </w:tc>
        <w:tc>
          <w:tcPr>
            <w:tcW w:w="132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3"/>
              </w:rPr>
              <w:t>ADSs Tendered</w:t>
            </w:r>
          </w:p>
        </w:tc>
        <w:tc>
          <w:tcPr>
            <w:tcW w:w="1520" w:type="dxa"/>
            <w:vAlign w:val="bottom"/>
          </w:tcPr>
          <w:p>
            <w:pPr>
              <w:spacing w:after="0"/>
              <w:rPr>
                <w:sz w:val="16"/>
                <w:szCs w:val="16"/>
                <w:color w:val="auto"/>
              </w:rPr>
            </w:pPr>
          </w:p>
        </w:tc>
        <w:tc>
          <w:tcPr>
            <w:tcW w:w="520" w:type="dxa"/>
            <w:vAlign w:val="bottom"/>
            <w:tcBorders>
              <w:right w:val="single" w:sz="8" w:color="auto"/>
            </w:tcBorders>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40" w:type="dxa"/>
            <w:vAlign w:val="bottom"/>
            <w:tcBorders>
              <w:left w:val="single" w:sz="8" w:color="auto"/>
            </w:tcBorders>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Registered ADS Holder(s)*</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(Attach additional signed list if necessary)</w:t>
            </w:r>
          </w:p>
        </w:tc>
        <w:tc>
          <w:tcPr>
            <w:tcW w:w="520" w:type="dxa"/>
            <w:vAlign w:val="bottom"/>
            <w:tcBorders>
              <w:right w:val="single" w:sz="8" w:color="auto"/>
            </w:tcBorders>
          </w:tcPr>
          <w:p>
            <w:pPr>
              <w:spacing w:after="0"/>
              <w:rPr>
                <w:sz w:val="20"/>
                <w:szCs w:val="20"/>
                <w:color w:val="auto"/>
              </w:rPr>
            </w:pPr>
          </w:p>
        </w:tc>
      </w:tr>
      <w:tr>
        <w:trPr>
          <w:trHeight w:val="27"/>
        </w:trPr>
        <w:tc>
          <w:tcPr>
            <w:tcW w:w="240" w:type="dxa"/>
            <w:vAlign w:val="bottom"/>
            <w:tcBorders>
              <w:left w:val="single" w:sz="8" w:color="auto"/>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01"/>
        </w:trPr>
        <w:tc>
          <w:tcPr>
            <w:tcW w:w="240" w:type="dxa"/>
            <w:vAlign w:val="bottom"/>
            <w:tcBorders>
              <w:lef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3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spacing w:after="0"/>
              <w:rPr>
                <w:sz w:val="17"/>
                <w:szCs w:val="17"/>
                <w:color w:val="auto"/>
              </w:rPr>
            </w:pPr>
          </w:p>
        </w:tc>
        <w:tc>
          <w:tcPr>
            <w:tcW w:w="620" w:type="dxa"/>
            <w:vAlign w:val="bottom"/>
            <w:tcBorders>
              <w:right w:val="single" w:sz="8" w:color="auto"/>
            </w:tcBorders>
          </w:tcPr>
          <w:p>
            <w:pPr>
              <w:jc w:val="center"/>
              <w:ind w:left="43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ind w:left="320"/>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520" w:type="dxa"/>
            <w:vAlign w:val="bottom"/>
            <w:tcBorders>
              <w:right w:val="single" w:sz="8" w:color="auto"/>
            </w:tcBorders>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40" w:type="dxa"/>
            <w:vAlign w:val="bottom"/>
            <w:tcBorders>
              <w:left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ADSs held in</w:t>
            </w:r>
          </w:p>
        </w:tc>
        <w:tc>
          <w:tcPr>
            <w:tcW w:w="70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of ADSs</w:t>
            </w:r>
          </w:p>
        </w:tc>
        <w:tc>
          <w:tcPr>
            <w:tcW w:w="520" w:type="dxa"/>
            <w:vAlign w:val="bottom"/>
            <w:tcBorders>
              <w:right w:val="single" w:sz="8" w:color="auto"/>
            </w:tcBorders>
          </w:tcPr>
          <w:p>
            <w:pPr>
              <w:spacing w:after="0"/>
              <w:rPr>
                <w:sz w:val="18"/>
                <w:szCs w:val="18"/>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5"/>
              </w:rPr>
              <w:t>Book-Entry Form**</w:t>
            </w:r>
          </w:p>
        </w:tc>
        <w:tc>
          <w:tcPr>
            <w:tcW w:w="620" w:type="dxa"/>
            <w:vAlign w:val="bottom"/>
            <w:tcBorders>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Tendered***</w:t>
            </w:r>
          </w:p>
        </w:tc>
        <w:tc>
          <w:tcPr>
            <w:tcW w:w="520" w:type="dxa"/>
            <w:vAlign w:val="bottom"/>
            <w:tcBorders>
              <w:right w:val="single" w:sz="8" w:color="auto"/>
            </w:tcBorders>
          </w:tcPr>
          <w:p>
            <w:pPr>
              <w:spacing w:after="0"/>
              <w:rPr>
                <w:sz w:val="20"/>
                <w:szCs w:val="20"/>
                <w:color w:val="auto"/>
              </w:rPr>
            </w:pPr>
          </w:p>
        </w:tc>
      </w:tr>
      <w:tr>
        <w:trPr>
          <w:trHeight w:val="27"/>
        </w:trPr>
        <w:tc>
          <w:tcPr>
            <w:tcW w:w="240" w:type="dxa"/>
            <w:vAlign w:val="bottom"/>
            <w:tcBorders>
              <w:left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0"/>
        </w:trPr>
        <w:tc>
          <w:tcPr>
            <w:tcW w:w="240" w:type="dxa"/>
            <w:vAlign w:val="bottom"/>
            <w:tcBorders>
              <w:left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r>
      <w:tr>
        <w:trPr>
          <w:trHeight w:val="236"/>
        </w:trPr>
        <w:tc>
          <w:tcPr>
            <w:tcW w:w="240" w:type="dxa"/>
            <w:vAlign w:val="bottom"/>
            <w:tcBorders>
              <w:lef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
        </w:trPr>
        <w:tc>
          <w:tcPr>
            <w:tcW w:w="240" w:type="dxa"/>
            <w:vAlign w:val="bottom"/>
            <w:tcBorders>
              <w:left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r>
      <w:tr>
        <w:trPr>
          <w:trHeight w:val="236"/>
        </w:trPr>
        <w:tc>
          <w:tcPr>
            <w:tcW w:w="240" w:type="dxa"/>
            <w:vAlign w:val="bottom"/>
            <w:tcBorders>
              <w:lef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0"/>
        </w:trPr>
        <w:tc>
          <w:tcPr>
            <w:tcW w:w="240" w:type="dxa"/>
            <w:vAlign w:val="bottom"/>
            <w:tcBorders>
              <w:left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r>
      <w:tr>
        <w:trPr>
          <w:trHeight w:val="236"/>
        </w:trPr>
        <w:tc>
          <w:tcPr>
            <w:tcW w:w="240" w:type="dxa"/>
            <w:vAlign w:val="bottom"/>
            <w:tcBorders>
              <w:lef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
        </w:trPr>
        <w:tc>
          <w:tcPr>
            <w:tcW w:w="240" w:type="dxa"/>
            <w:vAlign w:val="bottom"/>
            <w:tcBorders>
              <w:left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r>
      <w:tr>
        <w:trPr>
          <w:trHeight w:val="236"/>
        </w:trPr>
        <w:tc>
          <w:tcPr>
            <w:tcW w:w="240" w:type="dxa"/>
            <w:vAlign w:val="bottom"/>
            <w:tcBorders>
              <w:lef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
        </w:trPr>
        <w:tc>
          <w:tcPr>
            <w:tcW w:w="240" w:type="dxa"/>
            <w:vAlign w:val="bottom"/>
            <w:tcBorders>
              <w:left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r>
      <w:tr>
        <w:trPr>
          <w:trHeight w:val="236"/>
        </w:trPr>
        <w:tc>
          <w:tcPr>
            <w:tcW w:w="240" w:type="dxa"/>
            <w:vAlign w:val="bottom"/>
            <w:tcBorders>
              <w:left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4"/>
              </w:rPr>
              <w:t>Total ADSs</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4"/>
        </w:trPr>
        <w:tc>
          <w:tcPr>
            <w:tcW w:w="240" w:type="dxa"/>
            <w:vAlign w:val="bottom"/>
            <w:tcBorders>
              <w:left w:val="single" w:sz="8" w:color="auto"/>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24"/>
        </w:trPr>
        <w:tc>
          <w:tcPr>
            <w:tcW w:w="2560" w:type="dxa"/>
            <w:vAlign w:val="bottom"/>
            <w:tcBorders>
              <w:top w:val="single" w:sz="8" w:color="auto"/>
              <w:left w:val="single" w:sz="8" w:color="auto"/>
              <w:bottom w:val="single" w:sz="8" w:color="auto"/>
            </w:tcBorders>
            <w:gridSpan w:val="2"/>
          </w:tcPr>
          <w:p>
            <w:pPr>
              <w:ind w:left="20"/>
              <w:spacing w:after="0" w:line="324" w:lineRule="exact"/>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ITEM A:</w:t>
            </w:r>
          </w:p>
        </w:tc>
        <w:tc>
          <w:tcPr>
            <w:tcW w:w="3620" w:type="dxa"/>
            <w:vAlign w:val="bottom"/>
            <w:tcBorders>
              <w:top w:val="single" w:sz="8" w:color="auto"/>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ADSs TENDERED</w:t>
            </w:r>
          </w:p>
        </w:tc>
        <w:tc>
          <w:tcPr>
            <w:tcW w:w="15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1"/>
        </w:trPr>
        <w:tc>
          <w:tcPr>
            <w:tcW w:w="2560" w:type="dxa"/>
            <w:vAlign w:val="bottom"/>
            <w:tcBorders>
              <w:left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  Names(s) and Address(es) of</w:t>
            </w:r>
          </w:p>
        </w:tc>
        <w:tc>
          <w:tcPr>
            <w:tcW w:w="200" w:type="dxa"/>
            <w:vAlign w:val="bottom"/>
            <w:tcBorders>
              <w:right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3280" w:type="dxa"/>
            <w:vAlign w:val="bottom"/>
            <w:gridSpan w:val="2"/>
          </w:tcPr>
          <w:p>
            <w:pPr>
              <w:jc w:val="center"/>
              <w:ind w:left="1730"/>
              <w:spacing w:after="0" w:line="201" w:lineRule="exact"/>
              <w:rPr>
                <w:sz w:val="20"/>
                <w:szCs w:val="20"/>
                <w:color w:val="auto"/>
              </w:rPr>
            </w:pPr>
            <w:r>
              <w:rPr>
                <w:rFonts w:ascii="Times New Roman" w:cs="Times New Roman" w:eastAsia="Times New Roman" w:hAnsi="Times New Roman"/>
                <w:sz w:val="18"/>
                <w:szCs w:val="18"/>
                <w:b w:val="1"/>
                <w:bCs w:val="1"/>
                <w:color w:val="auto"/>
                <w:w w:val="93"/>
              </w:rPr>
              <w:t>ADSs Tendered</w:t>
            </w:r>
          </w:p>
        </w:tc>
        <w:tc>
          <w:tcPr>
            <w:tcW w:w="1520" w:type="dxa"/>
            <w:vAlign w:val="bottom"/>
          </w:tcPr>
          <w:p>
            <w:pPr>
              <w:spacing w:after="0"/>
              <w:rPr>
                <w:sz w:val="17"/>
                <w:szCs w:val="17"/>
                <w:color w:val="auto"/>
              </w:rPr>
            </w:pPr>
          </w:p>
        </w:tc>
        <w:tc>
          <w:tcPr>
            <w:tcW w:w="520" w:type="dxa"/>
            <w:vAlign w:val="bottom"/>
            <w:tcBorders>
              <w:right w:val="single" w:sz="8" w:color="auto"/>
            </w:tcBorders>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40" w:type="dxa"/>
            <w:vAlign w:val="bottom"/>
            <w:tcBorders>
              <w:left w:val="single" w:sz="8" w:color="auto"/>
            </w:tcBorders>
          </w:tcPr>
          <w:p>
            <w:pPr>
              <w:spacing w:after="0"/>
              <w:rPr>
                <w:sz w:val="20"/>
                <w:szCs w:val="20"/>
                <w:color w:val="auto"/>
              </w:rPr>
            </w:pPr>
          </w:p>
        </w:tc>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Registered Holder(s)*</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5"/>
              </w:rPr>
              <w:t>(Attach additional signed list if necessary)</w:t>
            </w:r>
          </w:p>
        </w:tc>
        <w:tc>
          <w:tcPr>
            <w:tcW w:w="520" w:type="dxa"/>
            <w:vAlign w:val="bottom"/>
            <w:tcBorders>
              <w:right w:val="single" w:sz="8" w:color="auto"/>
            </w:tcBorders>
          </w:tcPr>
          <w:p>
            <w:pPr>
              <w:spacing w:after="0"/>
              <w:rPr>
                <w:sz w:val="20"/>
                <w:szCs w:val="20"/>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01"/>
        </w:trPr>
        <w:tc>
          <w:tcPr>
            <w:tcW w:w="340" w:type="dxa"/>
            <w:vAlign w:val="bottom"/>
            <w:tcBorders>
              <w:lef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580" w:type="dxa"/>
            <w:vAlign w:val="bottom"/>
            <w:tcBorders>
              <w:right w:val="single" w:sz="8" w:color="auto"/>
            </w:tcBorders>
          </w:tcPr>
          <w:p>
            <w:pPr>
              <w:jc w:val="center"/>
              <w:ind w:left="239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6"/>
              </w:rPr>
              <w:t>Number</w:t>
            </w:r>
          </w:p>
        </w:tc>
        <w:tc>
          <w:tcPr>
            <w:tcW w:w="520" w:type="dxa"/>
            <w:vAlign w:val="bottom"/>
            <w:tcBorders>
              <w:right w:val="single" w:sz="8" w:color="auto"/>
            </w:tcBorders>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40" w:type="dxa"/>
            <w:vAlign w:val="bottom"/>
            <w:tcBorders>
              <w:left w:val="single" w:sz="8" w:color="auto"/>
            </w:tcBorders>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Total Number of ADSs held in</w:t>
            </w:r>
          </w:p>
        </w:tc>
        <w:tc>
          <w:tcPr>
            <w:tcW w:w="70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5"/>
              </w:rPr>
              <w:t>of ADSs</w:t>
            </w:r>
          </w:p>
        </w:tc>
        <w:tc>
          <w:tcPr>
            <w:tcW w:w="520" w:type="dxa"/>
            <w:vAlign w:val="bottom"/>
            <w:tcBorders>
              <w:right w:val="single" w:sz="8" w:color="auto"/>
            </w:tcBorders>
          </w:tcPr>
          <w:p>
            <w:pPr>
              <w:spacing w:after="0"/>
              <w:rPr>
                <w:sz w:val="18"/>
                <w:szCs w:val="18"/>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Book-Entry Form**</w:t>
            </w:r>
          </w:p>
        </w:tc>
        <w:tc>
          <w:tcPr>
            <w:tcW w:w="70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Tendered***</w:t>
            </w:r>
          </w:p>
        </w:tc>
        <w:tc>
          <w:tcPr>
            <w:tcW w:w="520" w:type="dxa"/>
            <w:vAlign w:val="bottom"/>
            <w:tcBorders>
              <w:right w:val="single" w:sz="8" w:color="auto"/>
            </w:tcBorders>
          </w:tcPr>
          <w:p>
            <w:pPr>
              <w:spacing w:after="0"/>
              <w:rPr>
                <w:sz w:val="20"/>
                <w:szCs w:val="20"/>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ind w:left="1620" w:right="499" w:hanging="360"/>
        <w:spacing w:after="0" w:line="250"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ADS holders who hold their ADSs in book-entry form on the books and records of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the name of the Registered Holder must be exactly as it appears on the books and records of the Depositary.</w:t>
      </w:r>
    </w:p>
    <w:p>
      <w:pPr>
        <w:spacing w:after="0" w:line="1" w:lineRule="exact"/>
        <w:rPr>
          <w:sz w:val="20"/>
          <w:szCs w:val="20"/>
          <w:color w:val="auto"/>
        </w:rPr>
      </w:pPr>
    </w:p>
    <w:p>
      <w:pPr>
        <w:ind w:left="1620" w:right="539" w:hanging="360"/>
        <w:spacing w:after="0" w:line="250"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 ADSs that are held in book-entry form on the books and records of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Do NOT include any ADSs to be transferred by means of the DTC book-entry system.</w:t>
      </w:r>
    </w:p>
    <w:p>
      <w:pPr>
        <w:ind w:left="1620" w:right="619" w:hanging="360"/>
        <w:spacing w:after="0" w:line="260"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ADSs described above are being tendered. See Instruction 4.</w:t>
      </w:r>
    </w:p>
    <w:p>
      <w:pPr>
        <w:spacing w:after="0" w:line="110" w:lineRule="exact"/>
        <w:rPr>
          <w:sz w:val="20"/>
          <w:szCs w:val="20"/>
          <w:color w:val="auto"/>
        </w:rPr>
      </w:pPr>
    </w:p>
    <w:p>
      <w:pPr>
        <w:jc w:val="both"/>
        <w:ind w:left="1260" w:right="47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Please fill in all applicable blanks, follow all instructions carefully and sign this Letter of Transmittal in the appropriate space provided below. The Letter of Transmittal and IRS Form W-9 (or an appropriate IRS Form W-8, as applicable), must be delivered to the Tender Agent at one of the addresses set forth above.</w:t>
      </w:r>
    </w:p>
    <w:p>
      <w:pPr>
        <w:spacing w:after="0" w:line="85" w:lineRule="exact"/>
        <w:rPr>
          <w:sz w:val="20"/>
          <w:szCs w:val="20"/>
          <w:color w:val="auto"/>
        </w:rPr>
      </w:pPr>
    </w:p>
    <w:p>
      <w:pPr>
        <w:ind w:left="1260" w:right="39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DELIVERY OF THIS LETTER OF TRANSMITTAL OR OTHER DOCUMENTS TO AN ADDRESS OTHER THAN AS SET FORTH BELOW DOES NOT CONSTITUTE VALID DELIVERY. DELIVERIES TO THE COMPANY WILL NOT BE FORWARDED TO THE TENDER AGENT AND THEREFORE WILL NOT CONSTITUTE VALID DELIVERY. DELIVERIES TO THE DEPOSITORY TRUST COMPANY (“DTC”) WILL NOT CONSTITUTE VALID DELIVERY TO THE TENDER AGENT.</w:t>
      </w:r>
    </w:p>
    <w:p>
      <w:pPr>
        <w:spacing w:after="0" w:line="16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READ THE INSTRUCTIONS CAREFULLY BEFORE</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COMPLETING THIS LETTER OF TRANSMITTAL.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YOU MUST SIGN THIS LETTER OF TRANSMITTAL WHERE INDICATED BELOW AND</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COMPLETE THE IRS FORM W-9 OR, IF APPROPRIATE, IRS FORM W-8.</w:t>
      </w:r>
    </w:p>
    <w:p>
      <w:pPr>
        <w:spacing w:after="0" w:line="13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This Letter of Transmittal (together with any amendments and supplements thereto, this “Letter of Transmittal”) is to be used for delivery of American Depositary Shares, including those American Depositary Shares subject to transfer restrictions (collectively, the “ADSs”), each representing 45 Class A ordinary shares, par value $0.001 per share, of Moatable, Inc. (the “Company,” “we,” “us” or “our”) pursuant to the procedures set forth in Section 3 of the Offer to Purchase dated September 3, 2025 (together with any amendments or supplements thereto, the “Offer to Purchase,” and together with this Letter of Transmittal and other related materials, as each may be amended or supplemented from time to time, the “Offer”).</w:t>
      </w:r>
    </w:p>
    <w:p>
      <w:pPr>
        <w:spacing w:after="0" w:line="337"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Tendering securityholders must timely deliver all documents required by this Letter of Transmittal to the Tender Agent by 12:00 midnight, New York City time, at the end of the day on September 30, 2025, unless we extend or terminate the Offer (such date and time, as they may be extended, the “Expiration Time”). When used together with a specific time, the term Expiration Time refers to the date on which the Offer expires. All capitalized terms not otherwise defined herein have the meaning ascribed to them in the Offer to Purchase.</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attention is directed in particular to the following:</w:t>
      </w:r>
    </w:p>
    <w:p>
      <w:pPr>
        <w:spacing w:after="0" w:line="158" w:lineRule="exact"/>
        <w:rPr>
          <w:sz w:val="20"/>
          <w:szCs w:val="20"/>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wish to retain ADSs you own, you do not need to take any action.</w:t>
      </w:r>
    </w:p>
    <w:p>
      <w:pPr>
        <w:spacing w:after="0" w:line="157" w:lineRule="exact"/>
        <w:rPr>
          <w:rFonts w:ascii="Times New Roman" w:cs="Times New Roman" w:eastAsia="Times New Roman" w:hAnsi="Times New Roman"/>
          <w:sz w:val="18"/>
          <w:szCs w:val="18"/>
          <w:b w:val="1"/>
          <w:bCs w:val="1"/>
          <w:color w:val="auto"/>
        </w:rPr>
      </w:pPr>
    </w:p>
    <w:p>
      <w:pPr>
        <w:ind w:left="1980" w:right="1219" w:hanging="360"/>
        <w:spacing w:after="0" w:line="282" w:lineRule="auto"/>
        <w:tabs>
          <w:tab w:leader="none" w:pos="1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will be $3.00/45 per Class A Ordinary Share (or $3.00 per ADS) (the “Purchase Price”).</w:t>
      </w:r>
    </w:p>
    <w:p>
      <w:pPr>
        <w:spacing w:after="0" w:line="8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tender of the ADSs is not effective until the Tender Agent is deemed to have received the ADSs reflected on this Letter of Transmittal which must be properly completed and duly executed, together with all accompanying evidence(s) of authority in a form satisfactory to the Company and any other required documents.</w:t>
      </w:r>
    </w:p>
    <w:p>
      <w:pPr>
        <w:spacing w:after="0" w:line="17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ODD LOTS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(SEE INSTRUCTION 10)</w:t>
      </w:r>
    </w:p>
    <w:p>
      <w:pPr>
        <w:spacing w:after="0" w:line="1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As described in the Supplemental Notice, dated September 12, 2025, under certain conditions, holders of a total of fewer than 100 Class A Ordinary Shares (including Class A Ordinary Shares represented by ADSs) may have their tendered ADSs accepted for payment before any proration of other Class A Ordinary Shares (including Class A Ordinary Shares represented by ADSs). This preference is not available to partial tenders or registered holders or beneficial owners of 100 or more Class A Ordinary Shares (including Class A Ordinary Shares represented by ADSs) in the aggregate, even if these holders have separate accounts or certificates representing fewer than 100 Class A Ordinary Shares (including Class A Ordinary Shares represented by ADSs). </w:t>
      </w:r>
      <w:r>
        <w:rPr>
          <w:rFonts w:ascii="Times New Roman" w:cs="Times New Roman" w:eastAsia="Times New Roman" w:hAnsi="Times New Roman"/>
          <w:sz w:val="18"/>
          <w:szCs w:val="18"/>
          <w:b w:val="1"/>
          <w:bCs w:val="1"/>
          <w:color w:val="auto"/>
        </w:rPr>
        <w:t>Accordingly, this section is to be completed only if ADSs are being tendered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on behalf of a person who held or beneficially owned, as of the close of business on the date set forth on the signature page hereto, and who continues to hold or beneficially own, as of the Expiration Time, an aggregate of less than 100 Class A Ordinary Shares (including Class A Ordinary Shares represented by ADSs).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undersigned either (check one box):</w:t>
      </w:r>
    </w:p>
    <w:p>
      <w:pPr>
        <w:spacing w:after="0" w:line="122" w:lineRule="exact"/>
        <w:rPr>
          <w:sz w:val="20"/>
          <w:szCs w:val="20"/>
          <w:color w:val="auto"/>
        </w:rPr>
      </w:pPr>
    </w:p>
    <w:p>
      <w:pPr>
        <w:ind w:left="1260" w:right="819" w:firstLine="360"/>
        <w:spacing w:after="0" w:line="282" w:lineRule="auto"/>
        <w:tabs>
          <w:tab w:leader="none" w:pos="1931"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held or beneficially owned an aggregate of fewer than 100 Class A Ordinary Shares (including Class A Ordinary Shares represented by ADSs), all of which are being tendered; or</w:t>
      </w:r>
    </w:p>
    <w:p>
      <w:pPr>
        <w:spacing w:after="0" w:line="80" w:lineRule="exact"/>
        <w:rPr>
          <w:rFonts w:ascii="MS PGothic" w:cs="MS PGothic" w:eastAsia="MS PGothic" w:hAnsi="MS PGothic"/>
          <w:sz w:val="18"/>
          <w:szCs w:val="18"/>
          <w:color w:val="auto"/>
        </w:rPr>
      </w:pPr>
    </w:p>
    <w:p>
      <w:pPr>
        <w:ind w:left="1260" w:right="459" w:firstLine="360"/>
        <w:spacing w:after="0" w:line="258" w:lineRule="auto"/>
        <w:tabs>
          <w:tab w:leader="none" w:pos="1931"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broker, dealer, commercial bank, trust company or other nominee that (i) is tendering on behalf of a person who held or beneficially owned ADSs and (ii) believes, based upon representations made to it, that such person held or beneficially owned an aggregate of fewer than 100 Class A Ordinary Shares (including Class A Ordinary Shares represented by ADSs) and is tendering all of such Class A Ordinary Shares (including Class A Ordinary Shares represented by ADSs).</w:t>
      </w:r>
    </w:p>
    <w:p>
      <w:pPr>
        <w:spacing w:after="0" w:line="179"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color w:val="auto"/>
        </w:rPr>
        <w:t>NOTE: SIGNATURES MUST BE PROVIDED WHERE INDICATED BELOW. PLEASE READ THE ACCOMPANYING INSTRUCTIONS CAREFULLY.</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The undersigned hereby tenders to Moatable, Inc., an exempted company incorporated with limited liability under the laws of the Cayman Islands (the “Company,” “we,” “us” or “our”), the above-described ADSs, each representing 45 Class A ordinary shares, par value $0.001 per share, at the price per ADS indicated in this Letter of Transmittal, net to the seller in cash, less a cash distribution fee of $0.05 per tendered ADS accepted for purchase in the Offer that will be paid to Citibank, N.A., the Company’s ADS depositary (the “ADSs Depositary”), less any applicable withholding taxes, and without interest, upon the terms and subject to the conditions set forth in the Company’s Offer to Purchase, dated September 3, 2025 (together with any amendments or supplements thereto, including the Supplemental Notice, dated September 12, 2025, the “Offer to Purchase”), this Letter of Transmittal (together with any amendments or supplements thereto, this “Letter of Transmittal”) and other related materials as may be amended or supplemented from time to time (collectively, with the Offer to Purchase and this Letter of Transmittal, the “Offer”), receipt of which is hereby acknowledged.</w:t>
      </w:r>
    </w:p>
    <w:p>
      <w:pPr>
        <w:spacing w:after="0" w:line="11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Subject to and effective on acceptance for payment of, and payment for, ADSs tendered pursuant to this Letter of Transmittal in accordance with the terms and subject to the conditions of the Offer, the undersigned hereby agrees to sell, assign and transfer to the Company, or upon the order of the Company will sell, assign and transfer to the Company, all right, title and interest in and to all ADSs that are being tendered hereby, to the full extent of the undersigned’s rights with respect to such tendered ADSs to:</w:t>
      </w:r>
    </w:p>
    <w:p>
      <w:pPr>
        <w:spacing w:after="0" w:line="114" w:lineRule="exact"/>
        <w:rPr>
          <w:sz w:val="20"/>
          <w:szCs w:val="20"/>
          <w:color w:val="auto"/>
        </w:rPr>
      </w:pPr>
    </w:p>
    <w:p>
      <w:pPr>
        <w:ind w:left="2300" w:hanging="320"/>
        <w:spacing w:after="0"/>
        <w:tabs>
          <w:tab w:leader="none" w:pos="2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present such tendered ADSs for transfer on the Depositary’s books;</w:t>
      </w:r>
    </w:p>
    <w:p>
      <w:pPr>
        <w:spacing w:after="0" w:line="157" w:lineRule="exact"/>
        <w:rPr>
          <w:rFonts w:ascii="Times New Roman" w:cs="Times New Roman" w:eastAsia="Times New Roman" w:hAnsi="Times New Roman"/>
          <w:sz w:val="18"/>
          <w:szCs w:val="18"/>
          <w:b w:val="1"/>
          <w:bCs w:val="1"/>
          <w:color w:val="auto"/>
        </w:rPr>
      </w:pPr>
    </w:p>
    <w:p>
      <w:pPr>
        <w:ind w:left="1620" w:right="439" w:firstLine="360"/>
        <w:spacing w:after="0" w:line="242" w:lineRule="auto"/>
        <w:tabs>
          <w:tab w:leader="none" w:pos="229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 ownership of such tendered ADSs into the account books maintained by The Depository Trust Company (which, in the Offer, is called the “Book-Entry Transfer Facility”), together, in any such case, with all accompanying evidence of transfer and authenticity to, or upon the order of, the Company upon receipt by Citibank, N.A., the tender agent for the Offer (the “Tender Agent”) of the aggregate purchase price (less any applicable withholding taxes, less a cash distribution fee of $0.05 per ADS accepted for purchase in the Offer that will be paid to Citibank, N.A., without interest) with respect to such tendered ADSs;</w:t>
      </w:r>
    </w:p>
    <w:p>
      <w:pPr>
        <w:spacing w:after="0" w:line="1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1620" w:right="539" w:firstLine="360"/>
        <w:spacing w:after="0" w:line="266" w:lineRule="auto"/>
        <w:tabs>
          <w:tab w:leader="none" w:pos="229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receive all benefits and otherwise exercise all rights of beneficial ownership of such tendered ADSs, all in accordance with the terms of and subject to the conditions of the Offer.</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hereby represents and warrants that the undersigned:</w:t>
      </w:r>
    </w:p>
    <w:p>
      <w:pPr>
        <w:spacing w:after="0" w:line="158" w:lineRule="exact"/>
        <w:rPr>
          <w:sz w:val="20"/>
          <w:szCs w:val="20"/>
          <w:color w:val="auto"/>
        </w:rPr>
      </w:pPr>
    </w:p>
    <w:p>
      <w:pPr>
        <w:ind w:left="1620" w:right="579" w:firstLine="360"/>
        <w:spacing w:after="0" w:line="266" w:lineRule="auto"/>
        <w:tabs>
          <w:tab w:leader="none" w:pos="229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a “net long position” in ADSs or equivalent securities that is at least equal to the number of ADSs being tendered;</w:t>
      </w:r>
    </w:p>
    <w:p>
      <w:pPr>
        <w:spacing w:after="0" w:line="94" w:lineRule="exact"/>
        <w:rPr>
          <w:rFonts w:ascii="Times New Roman" w:cs="Times New Roman" w:eastAsia="Times New Roman" w:hAnsi="Times New Roman"/>
          <w:sz w:val="18"/>
          <w:szCs w:val="18"/>
          <w:b w:val="1"/>
          <w:bCs w:val="1"/>
          <w:color w:val="auto"/>
        </w:rPr>
      </w:pPr>
    </w:p>
    <w:p>
      <w:pPr>
        <w:ind w:left="1620" w:right="459" w:firstLine="360"/>
        <w:spacing w:after="0" w:line="250" w:lineRule="auto"/>
        <w:tabs>
          <w:tab w:leader="none" w:pos="229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full power and authority to tender, sell, assign and transfer the tendered ADSs and that, when the same are accepted for payment, the Company will acquire good title thereto, free and clear of all liens, security interests, restrictions, charges, claims, encumbrances, conditional sales agreements or other similar obligations relating to the sale or transfer of the tendered ADSs, and the same will not be subject to any adverse claim or right; and</w:t>
      </w:r>
    </w:p>
    <w:p>
      <w:pPr>
        <w:spacing w:after="0" w:line="109" w:lineRule="exact"/>
        <w:rPr>
          <w:rFonts w:ascii="Times New Roman" w:cs="Times New Roman" w:eastAsia="Times New Roman" w:hAnsi="Times New Roman"/>
          <w:sz w:val="18"/>
          <w:szCs w:val="18"/>
          <w:b w:val="1"/>
          <w:bCs w:val="1"/>
          <w:color w:val="auto"/>
        </w:rPr>
      </w:pPr>
    </w:p>
    <w:p>
      <w:pPr>
        <w:ind w:left="1620" w:right="599" w:firstLine="360"/>
        <w:spacing w:after="0" w:line="250" w:lineRule="auto"/>
        <w:tabs>
          <w:tab w:leader="none" w:pos="229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 on request by the Tender Agent or the Company, execute any additional documents deemed by the Tender Agent or the Company to be necessary or desirable to complete the sale, assignment and transfer of the tendered ADSs (and any and all such other ADSs or other securities or rights), all in accordance with the terms of and subject to the conditions of the Offer.</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All authority conferred or agreed to be conferred pursuant to this Letter of Transmittal shall be binding on the successors, assigns, heirs, personal representatives, executors, administrators and other legal representatives of the undersigned and shall not be affected by, and shall survive, the death or incapacity of the undersigned. Except as stated in the Offer to Purchase, this tender is irrevocable.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understands that:</w:t>
      </w:r>
    </w:p>
    <w:p>
      <w:pPr>
        <w:spacing w:after="0" w:line="144" w:lineRule="exact"/>
        <w:rPr>
          <w:sz w:val="20"/>
          <w:szCs w:val="20"/>
          <w:color w:val="auto"/>
        </w:rPr>
      </w:pPr>
    </w:p>
    <w:p>
      <w:pPr>
        <w:ind w:left="1620" w:right="459" w:firstLine="360"/>
        <w:spacing w:after="0" w:line="282" w:lineRule="auto"/>
        <w:tabs>
          <w:tab w:leader="none" w:pos="229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tender of ADSs properly tendered pursuant to any of the procedures described in Section 3 of the Offer to Purchase and in the instructions to this Letter of Transmittal and not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0" w:lineRule="auto"/>
        <w:rPr>
          <w:sz w:val="20"/>
          <w:szCs w:val="20"/>
          <w:color w:val="auto"/>
        </w:rPr>
      </w:pPr>
      <w:r>
        <w:rPr>
          <w:rFonts w:ascii="Times New Roman" w:cs="Times New Roman" w:eastAsia="Times New Roman" w:hAnsi="Times New Roman"/>
          <w:sz w:val="18"/>
          <w:szCs w:val="18"/>
          <w:color w:val="auto"/>
        </w:rPr>
        <w:t>properly withdrawn pursuant to Section 4 of the Offer to Purchase constitutes the undersigned’s acceptance of the terms and conditions of the Offer, and the Company’s acceptance for payment of the ADSs tendered pursuant to the Offer will constitute a binding agreement between the undersigned and the Company in accordance with the terms and subject to the conditions of the Offer;</w:t>
      </w:r>
    </w:p>
    <w:p>
      <w:pPr>
        <w:spacing w:after="0" w:line="110" w:lineRule="exact"/>
        <w:rPr>
          <w:sz w:val="20"/>
          <w:szCs w:val="20"/>
          <w:color w:val="auto"/>
        </w:rPr>
      </w:pPr>
    </w:p>
    <w:p>
      <w:pPr>
        <w:ind w:left="1620" w:right="439" w:firstLine="360"/>
        <w:spacing w:after="0" w:line="241" w:lineRule="auto"/>
        <w:tabs>
          <w:tab w:leader="none" w:pos="229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a violation of Rule 14e-4 promulgated under the Securities Exchange Act of 1934, as amended (“Exchange Act”), for a person, acting alone or in concert with others, directly or indirectly, to tender ADSs for such person’s own account unless, at the time of tender and at the Expiration Time (as defined in the Offer to Purchase), such person has a “net long position” in (i) the ADSs that is equal to or greater than the amount tendered, and will deliver or cause to be delivered such ADSs for the purpose of tender to the Company within the period specified in the Offer, or (ii) other securities immediately convertible into, exercisable for or exchangeable into ADSs or equivalent securities that is equal to or greater than the amount tendered and, upon the acceptance of such tender, will acquire such ADSs by conversion, exchange or exercise of such equivalent securities that is at least equal to the number of ADSs being tendered to the extent required by the terms of the Offer, and will deliver or cause to be delivered such ADSs so acquired for the purpose of tender to the Company within the period specified in the Offer. Rule 14e-4 also provides a similar restriction applicable to the tender or guarantee of a tender on behalf of another person. A tender of ADSs made pursuant to any method of delivery set forth in this Letter of Transmittal will constitute the tendering securityholder’s representation and warranty to the Company that (i) such securityholder has a “net long position” in ADSs or equivalent securities that is at least equal to the number of ADSs being tendered within the meaning of Rule 14e-4, and (ii) such tender of ADSs complies with Rule 14e-4; the Company will, upon the terms and subject to the conditions of the Offer, purchase ADSs properly tendered and not properly withdrawn at a price of $3.00 per ADS (the “Purchase Price”); upon the terms and subject to the conditions of the Offer, the Company will accept for payment up to 225,000,000 Class A Ordinary Shares (including Class A Ordinary Shares represented by ADSs) (or such greater number as we may elect to purchase, subject to applicable law). The Company may increase the number of Class A Ordinary Shares (including Class A Ordinary Shares represented by ADSs) accepted for payment in the Offer by no more than 2% of the outstanding ADSs without extending the Offer.</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also acknowledges that:</w:t>
      </w:r>
    </w:p>
    <w:p>
      <w:pPr>
        <w:spacing w:after="0" w:line="144" w:lineRule="exact"/>
        <w:rPr>
          <w:sz w:val="20"/>
          <w:szCs w:val="20"/>
          <w:color w:val="auto"/>
        </w:rPr>
      </w:pPr>
    </w:p>
    <w:p>
      <w:pPr>
        <w:ind w:left="1620" w:right="439" w:firstLine="360"/>
        <w:spacing w:after="0" w:line="246" w:lineRule="auto"/>
        <w:tabs>
          <w:tab w:leader="none" w:pos="229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reserves the right, in its sole discretion, to increase or decrease the Purchase Price and to increase or decrease the number of Class A Ordinary Shares (including Class A Ordinary Shares represented by ADSs) sought for tender in the Offer, subject to applicable law. In accordance with the rules of the Securities and Exchange Commission (the “SEC”), if more than 225,000,000 Class A Ordinary Shares (including Class A Ordinary Shares represented by ADSs) are tendered in the Offer the Company may increase the number of ADSs accepted for payment in the Offer by no more than 2% of the outstanding Class A Ordinary Shares (including Class A Ordinary Shares represented by ADSs) without extending the Offer;</w:t>
      </w:r>
    </w:p>
    <w:p>
      <w:pPr>
        <w:spacing w:after="0" w:line="111" w:lineRule="exact"/>
        <w:rPr>
          <w:rFonts w:ascii="Times New Roman" w:cs="Times New Roman" w:eastAsia="Times New Roman" w:hAnsi="Times New Roman"/>
          <w:sz w:val="18"/>
          <w:szCs w:val="18"/>
          <w:b w:val="1"/>
          <w:bCs w:val="1"/>
          <w:color w:val="auto"/>
        </w:rPr>
      </w:pPr>
    </w:p>
    <w:p>
      <w:pPr>
        <w:ind w:left="1620" w:right="539" w:firstLine="360"/>
        <w:spacing w:after="0" w:line="245" w:lineRule="auto"/>
        <w:tabs>
          <w:tab w:leader="none" w:pos="229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Class A Ordinary Shares (including Class A Ordinary Shares represented by ADSs) properly tendered and not properly withdrawn, will be purchased upon the terms and subject to the conditions of the Offer. However, because of proration and the “odd lot” priority provisions described in the Offer to Purchase, the Company may not purchase all of the Class A Ordinary Shares (including Class A Ordinary Shares represented by ADSs) tendered if more than 225,000,000 Class A Ordinary Shares (including Class A Ordinary Shares represented by ADSs) are properly tendered and not properly withdrawn;</w:t>
      </w:r>
    </w:p>
    <w:p>
      <w:pPr>
        <w:spacing w:after="0" w:line="113" w:lineRule="exact"/>
        <w:rPr>
          <w:rFonts w:ascii="Times New Roman" w:cs="Times New Roman" w:eastAsia="Times New Roman" w:hAnsi="Times New Roman"/>
          <w:sz w:val="18"/>
          <w:szCs w:val="18"/>
          <w:b w:val="1"/>
          <w:bCs w:val="1"/>
          <w:color w:val="auto"/>
        </w:rPr>
      </w:pPr>
    </w:p>
    <w:p>
      <w:pPr>
        <w:ind w:left="1620" w:right="519" w:firstLine="360"/>
        <w:spacing w:after="0" w:line="266" w:lineRule="auto"/>
        <w:tabs>
          <w:tab w:leader="none" w:pos="228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ADSs not purchased in the Offer, including ADSs not purchased because of proration, will be returned to you at the Company’s expense promptly after the Expiration Time;</w:t>
      </w:r>
    </w:p>
    <w:p>
      <w:pPr>
        <w:spacing w:after="0" w:line="94" w:lineRule="exact"/>
        <w:rPr>
          <w:rFonts w:ascii="Times New Roman" w:cs="Times New Roman" w:eastAsia="Times New Roman" w:hAnsi="Times New Roman"/>
          <w:sz w:val="18"/>
          <w:szCs w:val="18"/>
          <w:b w:val="1"/>
          <w:bCs w:val="1"/>
          <w:color w:val="auto"/>
        </w:rPr>
      </w:pPr>
    </w:p>
    <w:p>
      <w:pPr>
        <w:ind w:left="1620" w:right="539" w:firstLine="360"/>
        <w:spacing w:after="0" w:line="247" w:lineRule="auto"/>
        <w:tabs>
          <w:tab w:leader="none" w:pos="229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terms and subject to the conditions of the Offer and subject to applicable law, the Company expressly reserves the right, in its sole discretion, (i) upon the occurrence of any of the events set forth in Section 6 of the Offer to Purchase, (a) to terminate the Offer and return all tendered Class A Ordinary Shares (including Class A Ordinary Shares represented by ADSs) to tendering securityholders, (b) extend the Offer and, subject to withdrawal rights as set forth in the Offer to Purchase, retain all of the tendered Class A Ordinary Shares (including Class A Ordinary Shares</w:t>
      </w: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2" w:lineRule="auto"/>
        <w:rPr>
          <w:sz w:val="20"/>
          <w:szCs w:val="20"/>
          <w:color w:val="auto"/>
        </w:rPr>
      </w:pPr>
      <w:r>
        <w:rPr>
          <w:rFonts w:ascii="Times New Roman" w:cs="Times New Roman" w:eastAsia="Times New Roman" w:hAnsi="Times New Roman"/>
          <w:sz w:val="18"/>
          <w:szCs w:val="18"/>
          <w:color w:val="auto"/>
        </w:rPr>
        <w:t>represented by ADSs) until the expiration of the Offer as so extended, (c) waive a condition of the Offer and, subject to any requirement to extend the period of time during which the Offer is open, purchase all of the Class A Ordinary Shares (including Class A Ordinary Shares represented by ADSs) properly tendered and not properly withdrawn prior to the Expiration Time, subject to proration or (d) delay acceptance of payment or payment for Class A Ordinary Shares (including Class A Ordinary Shares represented by ADSs), subject to applicable law, until satisfaction or waiver of the conditions to the Offer, and (ii) to extend the period of time during which the Offer is open, and thereby delay acceptance for payment of, and payment for, any Class A Ordinary Shares (including Class A Ordinary Shares represented by ADSs), by giving oral or written notice of such extension to the Tender Agent and making a public announcement thereof. During any such extension, all Class A Ordinary Shares (including Class A Ordinary Shares represented by ADSs) previously properly tendered and not properly withdrawn will remain subject to the Offer and to the rights of a tendering securityholder to withdraw such securityholder’s Class A Ordinary Shares (including Class A Ordinary Shares represented by ADSs);</w:t>
      </w:r>
    </w:p>
    <w:p>
      <w:pPr>
        <w:spacing w:after="0" w:line="347" w:lineRule="exact"/>
        <w:rPr>
          <w:sz w:val="20"/>
          <w:szCs w:val="20"/>
          <w:color w:val="auto"/>
        </w:rPr>
      </w:pPr>
    </w:p>
    <w:p>
      <w:pPr>
        <w:jc w:val="both"/>
        <w:ind w:left="1620" w:right="419" w:firstLine="360"/>
        <w:spacing w:after="0" w:line="266" w:lineRule="auto"/>
        <w:tabs>
          <w:tab w:leader="none" w:pos="229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advised the undersigned to consult with the undersigned’s own advisors as to the consequences of tendering Class A Ordinary Shares (including Class A Ordinary Shares represented by ADSs) pursuant to the Offer; and</w:t>
      </w:r>
    </w:p>
    <w:p>
      <w:pPr>
        <w:spacing w:after="0" w:line="108" w:lineRule="exact"/>
        <w:rPr>
          <w:rFonts w:ascii="Times New Roman" w:cs="Times New Roman" w:eastAsia="Times New Roman" w:hAnsi="Times New Roman"/>
          <w:sz w:val="18"/>
          <w:szCs w:val="18"/>
          <w:b w:val="1"/>
          <w:bCs w:val="1"/>
          <w:color w:val="auto"/>
        </w:rPr>
      </w:pPr>
    </w:p>
    <w:p>
      <w:pPr>
        <w:ind w:left="1620" w:right="459" w:firstLine="360"/>
        <w:spacing w:after="0" w:line="255" w:lineRule="auto"/>
        <w:tabs>
          <w:tab w:leader="none" w:pos="229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OFFER IS NOT BEING MADE TO, NOR WILL TENDERS OF CLASS A ORDINARY SHARES (INCLUDING CLASS A ORDINARY SHARES REPRESENTED BY ADSs) BE ACCEPTED FROM OR ON BEHALF OF, SECURITYHOLDERS IN ANY JURISDICTION IN WHICH THE MAKING OR ACCEPTANCE OF THE OFFER WOULD NOT BE IN COMPLIANCE WITH THE LAWS OF THAT JURISDICTION. HOWEVER, WE MAY, AT OUR DISCRETION, TAKE ANY ACTIONS NECESSARY FOR US TO MAKE THE OFFER TO SECURITYHOLDERS IN ANY SUCH JURISDICTION.</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agrees to all of the terms and conditions of the Offer.</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below in the box captioned “Special Payment Instructions,” please remit payment (in the case of holders of Restricted ADSs (as defined in the Deposit Agreement and hereinafter used as so defined) (CUSIP No.: 759892979), by wire, and in the case of holders of ADSs (CUSIP No.: 759892300), by check) for the purchase price for ADSs accepted for payment (less any applicable withholding taxes and without interest, less a cash distribution fee of $0.05 per tendered ADS accepted for purchase in the Offer that will be paid to Citibank, N.A., as ADS Depositary) to the registered holder(s) appearing under Item A. “Description of ADSs Tendered.” Similarly, unless otherwise indicated under “Special Delivery Instructions,” please remit payment (in the case of holders of Restricted ADSs (as defined in the Deposit Agreement and hereinafter used as so defined) (CUSIP No.: 759892979), by wire, and in the case of holders of ADSs (CUSIP No.: 759892300), by check) for the purchase price for ADSs accepted for payment (less any applicable withholding taxes and without interest, less a cash distribution fee of $0.05 per tendered ADS accepted for purchase in the Offer that will be paid to Citibank, N.A., as ADS Depositary) to the address(es) of the registered owner(s) appearing under Item A. “Description of ADSs Tendered.” For purposes of this Letter of Transmittal, “Deposit Agreement” shall mean that certain Deposit Agreement, dated as of May 4, 2011, as amended by Amendment No. 1 to Deposit Agreement, dated as of February 6, 2017, and by Amendment No. 2 to Deposit Agreement, dated as of January 9, 2020, by and among the Company, Citibank, N.A., as ADS Depositary, and all Holders and Beneficial Owners of ADSs issued thereunder (each as defined therein).</w:t>
      </w:r>
    </w:p>
    <w:p>
      <w:pPr>
        <w:spacing w:after="0" w:line="34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event that both the “Special Delivery Instructions” and the “Special Payment Instructions” are completed, please issue the check for payment of the purchase price (less any applicable withholding taxes and without interest, less a cash distribution fee of $0.05 per tendered ADS accepted for purchase in the Offer that will be paid to Citibank, N.A., as ADS Depositary) for ADSs accepted for payment in the name(s) of, and deliver such check to the person or persons so indicated. Appropriate medallion signature guarantees by an Eligible Institution (as defined in Instruction 1) have been included with respect to ADSs for which Special Payment Instructions have been given. The undersigned recognizes that the Company has no obligation pursuant to the “Special Payment Instructions” to transfer any ADSs from the name of the registered holder(s) thereof if the Company does not accept for payment any of ADSs so properly tendered.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8"/>
        </w:trPr>
        <w:tc>
          <w:tcPr>
            <w:tcW w:w="3860" w:type="dxa"/>
            <w:vAlign w:val="bottom"/>
            <w:tcBorders>
              <w:top w:val="single" w:sz="8" w:color="auto"/>
              <w:left w:val="single" w:sz="8" w:color="auto"/>
            </w:tcBorders>
            <w:gridSpan w:val="3"/>
          </w:tcPr>
          <w:p>
            <w:pPr>
              <w:ind w:left="20"/>
              <w:spacing w:after="0" w:line="288" w:lineRule="exact"/>
              <w:rPr>
                <w:sz w:val="20"/>
                <w:szCs w:val="20"/>
                <w:color w:val="auto"/>
              </w:rPr>
            </w:pPr>
            <w:r>
              <w:rPr>
                <w:rFonts w:ascii="Times New Roman" w:cs="Times New Roman" w:eastAsia="Times New Roman" w:hAnsi="Times New Roman"/>
                <w:sz w:val="33"/>
                <w:szCs w:val="33"/>
                <w:b w:val="1"/>
                <w:bCs w:val="1"/>
                <w:color w:val="auto"/>
                <w:vertAlign w:val="superscript"/>
              </w:rPr>
              <w:t>​</w:t>
            </w:r>
            <w:r>
              <w:rPr>
                <w:rFonts w:ascii="Times New Roman" w:cs="Times New Roman" w:eastAsia="Times New Roman" w:hAnsi="Times New Roman"/>
                <w:sz w:val="17"/>
                <w:szCs w:val="17"/>
                <w:b w:val="1"/>
                <w:bCs w:val="1"/>
                <w:color w:val="auto"/>
              </w:rPr>
              <w:t xml:space="preserve"> ITEM B: SPECIAL PAYMENT</w:t>
            </w:r>
          </w:p>
        </w:tc>
        <w:tc>
          <w:tcPr>
            <w:tcW w:w="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100" w:type="dxa"/>
            <w:vAlign w:val="bottom"/>
            <w:tcBorders>
              <w:left w:val="single" w:sz="8" w:color="auto"/>
            </w:tcBorders>
          </w:tcPr>
          <w:p>
            <w:pPr>
              <w:spacing w:after="0"/>
              <w:rPr>
                <w:sz w:val="21"/>
                <w:szCs w:val="21"/>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40" w:type="dxa"/>
            <w:vAlign w:val="bottom"/>
            <w:tcBorders>
              <w:right w:val="single" w:sz="8" w:color="auto"/>
            </w:tcBorders>
          </w:tcPr>
          <w:p>
            <w:pPr>
              <w:spacing w:after="0"/>
              <w:rPr>
                <w:sz w:val="21"/>
                <w:szCs w:val="21"/>
                <w:color w:val="auto"/>
              </w:rPr>
            </w:pPr>
          </w:p>
        </w:tc>
      </w:tr>
      <w:tr>
        <w:trPr>
          <w:trHeight w:val="319"/>
        </w:trPr>
        <w:tc>
          <w:tcPr>
            <w:tcW w:w="38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 To be completed ONLY if the check for the</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 for ADSs accepted for payment</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any applicable withholding taxes and</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interest, and less a cash distribution fee</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$0.05 per tendered ADS accepted for purchase</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Offer that will be paid to Citibank, N.A., as</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 Depositary) is to be issued in the name of</w:t>
            </w:r>
          </w:p>
        </w:tc>
        <w:tc>
          <w:tcPr>
            <w:tcW w:w="140" w:type="dxa"/>
            <w:vAlign w:val="bottom"/>
            <w:tcBorders>
              <w:right w:val="single" w:sz="8" w:color="auto"/>
            </w:tcBorders>
          </w:tcPr>
          <w:p>
            <w:pPr>
              <w:spacing w:after="0"/>
              <w:rPr>
                <w:sz w:val="18"/>
                <w:szCs w:val="18"/>
                <w:color w:val="auto"/>
              </w:rPr>
            </w:pPr>
          </w:p>
        </w:tc>
      </w:tr>
      <w:tr>
        <w:trPr>
          <w:trHeight w:val="214"/>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someone other than the person(s) specified in</w:t>
            </w:r>
          </w:p>
        </w:tc>
        <w:tc>
          <w:tcPr>
            <w:tcW w:w="140" w:type="dxa"/>
            <w:vAlign w:val="bottom"/>
            <w:tcBorders>
              <w:right w:val="single" w:sz="8" w:color="auto"/>
            </w:tcBorders>
          </w:tcPr>
          <w:p>
            <w:pPr>
              <w:spacing w:after="0"/>
              <w:rPr>
                <w:sz w:val="18"/>
                <w:szCs w:val="18"/>
                <w:color w:val="auto"/>
              </w:rPr>
            </w:pPr>
          </w:p>
        </w:tc>
      </w:tr>
      <w:tr>
        <w:trPr>
          <w:trHeight w:val="236"/>
        </w:trPr>
        <w:tc>
          <w:tcPr>
            <w:tcW w:w="100" w:type="dxa"/>
            <w:vAlign w:val="bottom"/>
            <w:tcBorders>
              <w:left w:val="single" w:sz="8" w:color="auto"/>
            </w:tcBorders>
          </w:tcPr>
          <w:p>
            <w:pPr>
              <w:spacing w:after="0"/>
              <w:rPr>
                <w:sz w:val="20"/>
                <w:szCs w:val="20"/>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Item A. </w:t>
            </w:r>
            <w:r>
              <w:rPr>
                <w:rFonts w:ascii="Times New Roman" w:cs="Times New Roman" w:eastAsia="Times New Roman" w:hAnsi="Times New Roman"/>
                <w:sz w:val="18"/>
                <w:szCs w:val="18"/>
                <w:i w:val="1"/>
                <w:iCs w:val="1"/>
                <w:color w:val="auto"/>
              </w:rPr>
              <w:t>See Instruction 1, 4, 5 and 6</w:t>
            </w: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r>
      <w:tr>
        <w:trPr>
          <w:trHeight w:val="351"/>
        </w:trPr>
        <w:tc>
          <w:tcPr>
            <w:tcW w:w="38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63"/>
        </w:trPr>
        <w:tc>
          <w:tcPr>
            <w:tcW w:w="100" w:type="dxa"/>
            <w:vAlign w:val="bottom"/>
            <w:tcBorders>
              <w:left w:val="single" w:sz="8" w:color="auto"/>
            </w:tcBorders>
          </w:tcPr>
          <w:p>
            <w:pPr>
              <w:spacing w:after="0"/>
              <w:rPr>
                <w:sz w:val="22"/>
                <w:szCs w:val="22"/>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Issue the check which I am entitled to receive to:</w:t>
            </w:r>
          </w:p>
        </w:tc>
        <w:tc>
          <w:tcPr>
            <w:tcW w:w="140" w:type="dxa"/>
            <w:vAlign w:val="bottom"/>
            <w:tcBorders>
              <w:right w:val="single" w:sz="8" w:color="auto"/>
            </w:tcBorders>
          </w:tcPr>
          <w:p>
            <w:pPr>
              <w:spacing w:after="0"/>
              <w:rPr>
                <w:sz w:val="22"/>
                <w:szCs w:val="22"/>
                <w:color w:val="auto"/>
              </w:rPr>
            </w:pPr>
          </w:p>
        </w:tc>
      </w:tr>
      <w:tr>
        <w:trPr>
          <w:trHeight w:val="392"/>
        </w:trPr>
        <w:tc>
          <w:tcPr>
            <w:tcW w:w="3860" w:type="dxa"/>
            <w:vAlign w:val="bottom"/>
            <w:tcBorders>
              <w:left w:val="single" w:sz="8" w:color="auto"/>
            </w:tcBorders>
            <w:gridSpan w:val="3"/>
          </w:tcPr>
          <w:p>
            <w:pPr>
              <w:ind w:left="20"/>
              <w:spacing w:after="0" w:line="39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Name</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0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(Please Type or Print)</w:t>
            </w:r>
          </w:p>
        </w:tc>
        <w:tc>
          <w:tcPr>
            <w:tcW w:w="140" w:type="dxa"/>
            <w:vAlign w:val="bottom"/>
            <w:tcBorders>
              <w:right w:val="single" w:sz="8" w:color="auto"/>
            </w:tcBorders>
          </w:tcPr>
          <w:p>
            <w:pPr>
              <w:spacing w:after="0"/>
              <w:rPr>
                <w:sz w:val="20"/>
                <w:szCs w:val="20"/>
                <w:color w:val="auto"/>
              </w:rPr>
            </w:pPr>
          </w:p>
        </w:tc>
      </w:tr>
      <w:tr>
        <w:trPr>
          <w:trHeight w:val="383"/>
        </w:trPr>
        <w:tc>
          <w:tcPr>
            <w:tcW w:w="860" w:type="dxa"/>
            <w:vAlign w:val="bottom"/>
            <w:tcBorders>
              <w:left w:val="single" w:sz="8" w:color="auto"/>
            </w:tcBorders>
            <w:gridSpan w:val="2"/>
          </w:tcPr>
          <w:p>
            <w:pPr>
              <w:ind w:left="20"/>
              <w:spacing w:after="0" w:line="383"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Address</w:t>
            </w:r>
          </w:p>
        </w:tc>
        <w:tc>
          <w:tcPr>
            <w:tcW w:w="300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8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00" w:type="dxa"/>
            <w:vAlign w:val="bottom"/>
            <w:tcBorders>
              <w:left w:val="single" w:sz="8" w:color="auto"/>
            </w:tcBorders>
          </w:tcPr>
          <w:p>
            <w:pPr>
              <w:spacing w:after="0"/>
              <w:rPr>
                <w:sz w:val="4"/>
                <w:szCs w:val="4"/>
                <w:color w:val="auto"/>
              </w:rPr>
            </w:pPr>
          </w:p>
        </w:tc>
        <w:tc>
          <w:tcPr>
            <w:tcW w:w="376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345"/>
        </w:trPr>
        <w:tc>
          <w:tcPr>
            <w:tcW w:w="38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00" w:type="dxa"/>
            <w:vAlign w:val="bottom"/>
            <w:tcBorders>
              <w:left w:val="single" w:sz="8" w:color="auto"/>
            </w:tcBorders>
          </w:tcPr>
          <w:p>
            <w:pPr>
              <w:spacing w:after="0"/>
              <w:rPr>
                <w:sz w:val="4"/>
                <w:szCs w:val="4"/>
                <w:color w:val="auto"/>
              </w:rPr>
            </w:pPr>
          </w:p>
        </w:tc>
        <w:tc>
          <w:tcPr>
            <w:tcW w:w="376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345"/>
        </w:trPr>
        <w:tc>
          <w:tcPr>
            <w:tcW w:w="386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00" w:type="dxa"/>
            <w:vAlign w:val="bottom"/>
            <w:tcBorders>
              <w:lef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232"/>
        </w:trPr>
        <w:tc>
          <w:tcPr>
            <w:tcW w:w="10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140" w:type="dxa"/>
            <w:vAlign w:val="bottom"/>
            <w:tcBorders>
              <w:right w:val="single" w:sz="8" w:color="auto"/>
            </w:tcBorders>
          </w:tcPr>
          <w:p>
            <w:pPr>
              <w:spacing w:after="0"/>
              <w:rPr>
                <w:sz w:val="20"/>
                <w:szCs w:val="20"/>
                <w:color w:val="auto"/>
              </w:rPr>
            </w:pPr>
          </w:p>
        </w:tc>
      </w:tr>
      <w:tr>
        <w:trPr>
          <w:trHeight w:val="342"/>
        </w:trPr>
        <w:tc>
          <w:tcPr>
            <w:tcW w:w="386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4"/>
        </w:trPr>
        <w:tc>
          <w:tcPr>
            <w:tcW w:w="100" w:type="dxa"/>
            <w:vAlign w:val="bottom"/>
            <w:tcBorders>
              <w:left w:val="single" w:sz="8" w:color="auto"/>
            </w:tcBorders>
          </w:tcPr>
          <w:p>
            <w:pPr>
              <w:spacing w:after="0"/>
              <w:rPr>
                <w:sz w:val="4"/>
                <w:szCs w:val="4"/>
                <w:color w:val="auto"/>
              </w:rPr>
            </w:pPr>
          </w:p>
        </w:tc>
        <w:tc>
          <w:tcPr>
            <w:tcW w:w="376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187"/>
        </w:trPr>
        <w:tc>
          <w:tcPr>
            <w:tcW w:w="100" w:type="dxa"/>
            <w:vAlign w:val="bottom"/>
            <w:tcBorders>
              <w:left w:val="single" w:sz="8" w:color="auto"/>
            </w:tcBorders>
          </w:tcPr>
          <w:p>
            <w:pPr>
              <w:spacing w:after="0"/>
              <w:rPr>
                <w:sz w:val="16"/>
                <w:szCs w:val="16"/>
                <w:color w:val="auto"/>
              </w:rPr>
            </w:pPr>
          </w:p>
        </w:tc>
        <w:tc>
          <w:tcPr>
            <w:tcW w:w="37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4"/>
              </w:rPr>
              <w:t>(Taxpayer Identification or Social Security</w:t>
            </w:r>
          </w:p>
        </w:tc>
        <w:tc>
          <w:tcPr>
            <w:tcW w:w="140" w:type="dxa"/>
            <w:vAlign w:val="bottom"/>
            <w:tcBorders>
              <w:right w:val="single" w:sz="8" w:color="auto"/>
            </w:tcBorders>
          </w:tcPr>
          <w:p>
            <w:pPr>
              <w:spacing w:after="0"/>
              <w:rPr>
                <w:sz w:val="16"/>
                <w:szCs w:val="16"/>
                <w:color w:val="auto"/>
              </w:rPr>
            </w:pPr>
          </w:p>
        </w:tc>
      </w:tr>
      <w:tr>
        <w:trPr>
          <w:trHeight w:val="238"/>
        </w:trPr>
        <w:tc>
          <w:tcPr>
            <w:tcW w:w="10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7"/>
              </w:rPr>
              <w:t>Number)</w:t>
            </w:r>
          </w:p>
        </w:tc>
        <w:tc>
          <w:tcPr>
            <w:tcW w:w="140" w:type="dxa"/>
            <w:vAlign w:val="bottom"/>
            <w:tcBorders>
              <w:right w:val="single" w:sz="8" w:color="auto"/>
            </w:tcBorders>
          </w:tcPr>
          <w:p>
            <w:pPr>
              <w:spacing w:after="0"/>
              <w:rPr>
                <w:sz w:val="20"/>
                <w:szCs w:val="20"/>
                <w:color w:val="auto"/>
              </w:rPr>
            </w:pPr>
          </w:p>
        </w:tc>
      </w:tr>
      <w:tr>
        <w:trPr>
          <w:trHeight w:val="135"/>
        </w:trPr>
        <w:tc>
          <w:tcPr>
            <w:tcW w:w="100" w:type="dxa"/>
            <w:vAlign w:val="bottom"/>
            <w:tcBorders>
              <w:left w:val="single" w:sz="8" w:color="auto"/>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8"/>
        </w:trPr>
        <w:tc>
          <w:tcPr>
            <w:tcW w:w="3860" w:type="dxa"/>
            <w:vAlign w:val="bottom"/>
            <w:tcBorders>
              <w:top w:val="single" w:sz="8" w:color="auto"/>
              <w:left w:val="single" w:sz="8" w:color="auto"/>
            </w:tcBorders>
            <w:gridSpan w:val="3"/>
          </w:tcPr>
          <w:p>
            <w:pPr>
              <w:spacing w:after="0" w:line="288" w:lineRule="exact"/>
              <w:rPr>
                <w:sz w:val="20"/>
                <w:szCs w:val="20"/>
                <w:color w:val="auto"/>
              </w:rPr>
            </w:pPr>
            <w:r>
              <w:rPr>
                <w:rFonts w:ascii="Times New Roman" w:cs="Times New Roman" w:eastAsia="Times New Roman" w:hAnsi="Times New Roman"/>
                <w:sz w:val="33"/>
                <w:szCs w:val="33"/>
                <w:b w:val="1"/>
                <w:bCs w:val="1"/>
                <w:color w:val="auto"/>
                <w:vertAlign w:val="superscript"/>
              </w:rPr>
              <w:t>​</w:t>
            </w:r>
            <w:r>
              <w:rPr>
                <w:rFonts w:ascii="Times New Roman" w:cs="Times New Roman" w:eastAsia="Times New Roman" w:hAnsi="Times New Roman"/>
                <w:sz w:val="17"/>
                <w:szCs w:val="17"/>
                <w:b w:val="1"/>
                <w:bCs w:val="1"/>
                <w:color w:val="auto"/>
              </w:rPr>
              <w:t xml:space="preserve"> ITEM C: SPECIAL DELIVERY</w:t>
            </w:r>
          </w:p>
        </w:tc>
        <w:tc>
          <w:tcPr>
            <w:tcW w:w="1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80" w:type="dxa"/>
            <w:vAlign w:val="bottom"/>
            <w:tcBorders>
              <w:left w:val="single" w:sz="8" w:color="auto"/>
            </w:tcBorders>
          </w:tcPr>
          <w:p>
            <w:pPr>
              <w:spacing w:after="0"/>
              <w:rPr>
                <w:sz w:val="21"/>
                <w:szCs w:val="21"/>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40" w:type="dxa"/>
            <w:vAlign w:val="bottom"/>
            <w:tcBorders>
              <w:right w:val="single" w:sz="8" w:color="auto"/>
            </w:tcBorders>
          </w:tcPr>
          <w:p>
            <w:pPr>
              <w:spacing w:after="0"/>
              <w:rPr>
                <w:sz w:val="21"/>
                <w:szCs w:val="21"/>
                <w:color w:val="auto"/>
              </w:rPr>
            </w:pPr>
          </w:p>
        </w:tc>
      </w:tr>
      <w:tr>
        <w:trPr>
          <w:trHeight w:val="292"/>
        </w:trPr>
        <w:tc>
          <w:tcPr>
            <w:tcW w:w="3860" w:type="dxa"/>
            <w:vAlign w:val="bottom"/>
            <w:tcBorders>
              <w:lef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To be completed ONLY if delivery of the check</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any applicable withholding taxes and</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interest, and less a cash distribution fee</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$0.05 per tendered ADS accepted for purchase</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Offer that will be paid to Citibank, N.A., as</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 Depositary) is to be made to an address</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than that specified in Item A, or to an</w:t>
            </w:r>
          </w:p>
        </w:tc>
        <w:tc>
          <w:tcPr>
            <w:tcW w:w="140" w:type="dxa"/>
            <w:vAlign w:val="bottom"/>
            <w:tcBorders>
              <w:right w:val="single" w:sz="8" w:color="auto"/>
            </w:tcBorders>
          </w:tcPr>
          <w:p>
            <w:pPr>
              <w:spacing w:after="0"/>
              <w:rPr>
                <w:sz w:val="18"/>
                <w:szCs w:val="18"/>
                <w:color w:val="auto"/>
              </w:rPr>
            </w:pPr>
          </w:p>
        </w:tc>
      </w:tr>
      <w:tr>
        <w:trPr>
          <w:trHeight w:val="214"/>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other than that appearing in Item B (if</w:t>
            </w:r>
          </w:p>
        </w:tc>
        <w:tc>
          <w:tcPr>
            <w:tcW w:w="140" w:type="dxa"/>
            <w:vAlign w:val="bottom"/>
            <w:tcBorders>
              <w:right w:val="single" w:sz="8" w:color="auto"/>
            </w:tcBorders>
          </w:tcPr>
          <w:p>
            <w:pPr>
              <w:spacing w:after="0"/>
              <w:rPr>
                <w:sz w:val="18"/>
                <w:szCs w:val="18"/>
                <w:color w:val="auto"/>
              </w:rPr>
            </w:pPr>
          </w:p>
        </w:tc>
      </w:tr>
      <w:tr>
        <w:trPr>
          <w:trHeight w:val="236"/>
        </w:trPr>
        <w:tc>
          <w:tcPr>
            <w:tcW w:w="80" w:type="dxa"/>
            <w:vAlign w:val="bottom"/>
            <w:tcBorders>
              <w:left w:val="single" w:sz="8" w:color="auto"/>
            </w:tcBorders>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filled in). </w:t>
            </w:r>
            <w:r>
              <w:rPr>
                <w:rFonts w:ascii="Times New Roman" w:cs="Times New Roman" w:eastAsia="Times New Roman" w:hAnsi="Times New Roman"/>
                <w:sz w:val="18"/>
                <w:szCs w:val="18"/>
                <w:i w:val="1"/>
                <w:iCs w:val="1"/>
                <w:color w:val="auto"/>
              </w:rPr>
              <w:t>See Instruction 1, 4, 5 and 6</w:t>
            </w: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r>
      <w:tr>
        <w:trPr>
          <w:trHeight w:val="324"/>
        </w:trPr>
        <w:tc>
          <w:tcPr>
            <w:tcW w:w="3860" w:type="dxa"/>
            <w:vAlign w:val="bottom"/>
            <w:tcBorders>
              <w:left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6"/>
        </w:trPr>
        <w:tc>
          <w:tcPr>
            <w:tcW w:w="80" w:type="dxa"/>
            <w:vAlign w:val="bottom"/>
            <w:tcBorders>
              <w:left w:val="single" w:sz="8" w:color="auto"/>
            </w:tcBorders>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Deliver the check which I am entitled to receive</w:t>
            </w:r>
          </w:p>
        </w:tc>
        <w:tc>
          <w:tcPr>
            <w:tcW w:w="140" w:type="dxa"/>
            <w:vAlign w:val="bottom"/>
            <w:tcBorders>
              <w:right w:val="single" w:sz="8" w:color="auto"/>
            </w:tcBorders>
          </w:tcPr>
          <w:p>
            <w:pPr>
              <w:spacing w:after="0"/>
              <w:rPr>
                <w:sz w:val="20"/>
                <w:szCs w:val="20"/>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to:</w:t>
            </w:r>
          </w:p>
        </w:tc>
        <w:tc>
          <w:tcPr>
            <w:tcW w:w="140" w:type="dxa"/>
            <w:vAlign w:val="bottom"/>
            <w:tcBorders>
              <w:right w:val="single" w:sz="8" w:color="auto"/>
            </w:tcBorders>
          </w:tcPr>
          <w:p>
            <w:pPr>
              <w:spacing w:after="0"/>
              <w:rPr>
                <w:sz w:val="21"/>
                <w:szCs w:val="21"/>
                <w:color w:val="auto"/>
              </w:rPr>
            </w:pPr>
          </w:p>
        </w:tc>
      </w:tr>
      <w:tr>
        <w:trPr>
          <w:trHeight w:val="378"/>
        </w:trPr>
        <w:tc>
          <w:tcPr>
            <w:tcW w:w="3860" w:type="dxa"/>
            <w:vAlign w:val="bottom"/>
            <w:tcBorders>
              <w:left w:val="single" w:sz="8" w:color="auto"/>
            </w:tcBorders>
            <w:gridSpan w:val="3"/>
          </w:tcPr>
          <w:p>
            <w:pPr>
              <w:spacing w:after="0" w:line="37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Name</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(Please Type or Print)</w:t>
            </w:r>
          </w:p>
        </w:tc>
        <w:tc>
          <w:tcPr>
            <w:tcW w:w="140" w:type="dxa"/>
            <w:vAlign w:val="bottom"/>
            <w:tcBorders>
              <w:right w:val="single" w:sz="8" w:color="auto"/>
            </w:tcBorders>
          </w:tcPr>
          <w:p>
            <w:pPr>
              <w:spacing w:after="0"/>
              <w:rPr>
                <w:sz w:val="20"/>
                <w:szCs w:val="20"/>
                <w:color w:val="auto"/>
              </w:rPr>
            </w:pPr>
          </w:p>
        </w:tc>
      </w:tr>
      <w:tr>
        <w:trPr>
          <w:trHeight w:val="369"/>
        </w:trPr>
        <w:tc>
          <w:tcPr>
            <w:tcW w:w="840" w:type="dxa"/>
            <w:vAlign w:val="bottom"/>
            <w:tcBorders>
              <w:left w:val="single" w:sz="8" w:color="auto"/>
            </w:tcBorders>
            <w:gridSpan w:val="2"/>
          </w:tcPr>
          <w:p>
            <w:pPr>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Address</w:t>
            </w:r>
          </w:p>
        </w:tc>
        <w:tc>
          <w:tcPr>
            <w:tcW w:w="302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860" w:type="dxa"/>
            <w:vAlign w:val="bottom"/>
            <w:tcBorders>
              <w:lef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80" w:type="dxa"/>
            <w:vAlign w:val="bottom"/>
            <w:tcBorders>
              <w:left w:val="single" w:sz="8" w:color="auto"/>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318"/>
        </w:trPr>
        <w:tc>
          <w:tcPr>
            <w:tcW w:w="3860" w:type="dxa"/>
            <w:vAlign w:val="bottom"/>
            <w:tcBorders>
              <w:lef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80" w:type="dxa"/>
            <w:vAlign w:val="bottom"/>
            <w:tcBorders>
              <w:left w:val="single" w:sz="8" w:color="auto"/>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318"/>
        </w:trPr>
        <w:tc>
          <w:tcPr>
            <w:tcW w:w="38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80" w:type="dxa"/>
            <w:vAlign w:val="bottom"/>
            <w:tcBorders>
              <w:lef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232"/>
        </w:trPr>
        <w:tc>
          <w:tcPr>
            <w:tcW w:w="8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140" w:type="dxa"/>
            <w:vAlign w:val="bottom"/>
            <w:tcBorders>
              <w:right w:val="single" w:sz="8" w:color="auto"/>
            </w:tcBorders>
          </w:tcPr>
          <w:p>
            <w:pPr>
              <w:spacing w:after="0"/>
              <w:rPr>
                <w:sz w:val="20"/>
                <w:szCs w:val="20"/>
                <w:color w:val="auto"/>
              </w:rPr>
            </w:pPr>
          </w:p>
        </w:tc>
      </w:tr>
      <w:tr>
        <w:trPr>
          <w:trHeight w:val="315"/>
        </w:trPr>
        <w:tc>
          <w:tcPr>
            <w:tcW w:w="38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4"/>
        </w:trPr>
        <w:tc>
          <w:tcPr>
            <w:tcW w:w="80" w:type="dxa"/>
            <w:vAlign w:val="bottom"/>
            <w:tcBorders>
              <w:left w:val="single" w:sz="8" w:color="auto"/>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187"/>
        </w:trPr>
        <w:tc>
          <w:tcPr>
            <w:tcW w:w="80" w:type="dxa"/>
            <w:vAlign w:val="bottom"/>
            <w:tcBorders>
              <w:left w:val="single" w:sz="8" w:color="auto"/>
            </w:tcBorders>
          </w:tcPr>
          <w:p>
            <w:pPr>
              <w:spacing w:after="0"/>
              <w:rPr>
                <w:sz w:val="16"/>
                <w:szCs w:val="16"/>
                <w:color w:val="auto"/>
              </w:rPr>
            </w:pPr>
          </w:p>
        </w:tc>
        <w:tc>
          <w:tcPr>
            <w:tcW w:w="37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4"/>
              </w:rPr>
              <w:t>(Taxpayer Identification or Social Security</w:t>
            </w:r>
          </w:p>
        </w:tc>
        <w:tc>
          <w:tcPr>
            <w:tcW w:w="140" w:type="dxa"/>
            <w:vAlign w:val="bottom"/>
            <w:tcBorders>
              <w:right w:val="single" w:sz="8" w:color="auto"/>
            </w:tcBorders>
          </w:tcPr>
          <w:p>
            <w:pPr>
              <w:spacing w:after="0"/>
              <w:rPr>
                <w:sz w:val="16"/>
                <w:szCs w:val="16"/>
                <w:color w:val="auto"/>
              </w:rPr>
            </w:pPr>
          </w:p>
        </w:tc>
      </w:tr>
      <w:tr>
        <w:trPr>
          <w:trHeight w:val="238"/>
        </w:trPr>
        <w:tc>
          <w:tcPr>
            <w:tcW w:w="8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Number)</w:t>
            </w:r>
          </w:p>
        </w:tc>
        <w:tc>
          <w:tcPr>
            <w:tcW w:w="140" w:type="dxa"/>
            <w:vAlign w:val="bottom"/>
            <w:tcBorders>
              <w:right w:val="single" w:sz="8" w:color="auto"/>
            </w:tcBorders>
          </w:tcPr>
          <w:p>
            <w:pPr>
              <w:spacing w:after="0"/>
              <w:rPr>
                <w:sz w:val="20"/>
                <w:szCs w:val="20"/>
                <w:color w:val="auto"/>
              </w:rPr>
            </w:pPr>
          </w:p>
        </w:tc>
      </w:tr>
      <w:tr>
        <w:trPr>
          <w:trHeight w:val="108"/>
        </w:trPr>
        <w:tc>
          <w:tcPr>
            <w:tcW w:w="80" w:type="dxa"/>
            <w:vAlign w:val="bottom"/>
            <w:tcBorders>
              <w:left w:val="single" w:sz="8" w:color="auto"/>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2">
            <w:col w:w="5380" w:space="100"/>
            <w:col w:w="439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IMPORTANT: SECURITYHOLDERS SIGN HERE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(PLEASE ALSO COMPLETE IRS FORM W-9 OR APPROPRIATE IRS FORM W-8)</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Owner(s):</w:t>
            </w:r>
          </w:p>
        </w:tc>
        <w:tc>
          <w:tcPr>
            <w:tcW w:w="6240" w:type="dxa"/>
            <w:vAlign w:val="bottom"/>
            <w:gridSpan w:val="2"/>
          </w:tcPr>
          <w:p>
            <w:pPr>
              <w:jc w:val="right"/>
              <w:ind w:right="5918"/>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
                <w:szCs w:val="2"/>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9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5"/>
        </w:trPr>
        <w:tc>
          <w:tcPr>
            <w:tcW w:w="7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5980" w:type="dxa"/>
            <w:vAlign w:val="bottom"/>
            <w:vMerge w:val="restart"/>
          </w:tcPr>
          <w:p>
            <w:pPr>
              <w:jc w:val="right"/>
              <w:ind w:right="5918"/>
              <w:spacing w:after="0"/>
              <w:rPr>
                <w:sz w:val="20"/>
                <w:szCs w:val="20"/>
                <w:color w:val="auto"/>
              </w:rPr>
            </w:pPr>
            <w:r>
              <w:rPr>
                <w:rFonts w:ascii="Times New Roman" w:cs="Times New Roman" w:eastAsia="Times New Roman" w:hAnsi="Times New Roman"/>
                <w:sz w:val="4"/>
                <w:szCs w:val="4"/>
                <w:color w:val="auto"/>
                <w:w w:val="97"/>
              </w:rPr>
              <w:t> </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Signature(s) of Owner(s):</w:t>
            </w:r>
          </w:p>
        </w:tc>
        <w:tc>
          <w:tcPr>
            <w:tcW w:w="260" w:type="dxa"/>
            <w:vAlign w:val="bottom"/>
          </w:tcPr>
          <w:p>
            <w:pPr>
              <w:spacing w:after="0"/>
              <w:rPr>
                <w:sz w:val="10"/>
                <w:szCs w:val="10"/>
                <w:color w:val="auto"/>
              </w:rPr>
            </w:pPr>
          </w:p>
        </w:tc>
        <w:tc>
          <w:tcPr>
            <w:tcW w:w="598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980" w:type="dxa"/>
            <w:vAlign w:val="bottom"/>
            <w:vMerge w:val="restart"/>
          </w:tcPr>
          <w:p>
            <w:pPr>
              <w:jc w:val="right"/>
              <w:ind w:right="5918"/>
              <w:spacing w:after="0"/>
              <w:rPr>
                <w:sz w:val="20"/>
                <w:szCs w:val="20"/>
                <w:color w:val="auto"/>
              </w:rPr>
            </w:pPr>
            <w:r>
              <w:rPr>
                <w:rFonts w:ascii="Times New Roman" w:cs="Times New Roman" w:eastAsia="Times New Roman" w:hAnsi="Times New Roman"/>
                <w:sz w:val="4"/>
                <w:szCs w:val="4"/>
                <w:color w:val="auto"/>
                <w:w w:val="97"/>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7"/>
        </w:trPr>
        <w:tc>
          <w:tcPr>
            <w:tcW w:w="7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Dated:</w:t>
            </w: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98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52" w:lineRule="exact"/>
        <w:rPr>
          <w:sz w:val="20"/>
          <w:szCs w:val="20"/>
          <w:color w:val="auto"/>
        </w:rPr>
      </w:pPr>
    </w:p>
    <w:p>
      <w:pPr>
        <w:ind w:left="1260"/>
        <w:spacing w:after="0" w:line="260" w:lineRule="auto"/>
        <w:rPr>
          <w:sz w:val="20"/>
          <w:szCs w:val="20"/>
          <w:color w:val="auto"/>
        </w:rPr>
      </w:pPr>
      <w:r>
        <w:rPr>
          <w:rFonts w:ascii="Times New Roman" w:cs="Times New Roman" w:eastAsia="Times New Roman" w:hAnsi="Times New Roman"/>
          <w:sz w:val="18"/>
          <w:szCs w:val="18"/>
          <w:color w:val="auto"/>
        </w:rPr>
        <w:t>​(Must be signed by registered holder(s) exactly as name(s) appear(s) on a security position listing or by person(s) authorized to become registered holder(s) ADSs as evidenced by endorsement or stock powers transmitted herewith. If signed by a trustee, executor, administrator, guardian, attorney-in-fact, officer of a corporation or other person acting in a fiduciary or representative capacity, the full title of the person should be set forth. See Instruction 4).</w:t>
      </w:r>
    </w:p>
    <w:tbl>
      <w:tblPr>
        <w:tblLayout w:type="fixed"/>
        <w:tblInd w:w="1260" w:type="dxa"/>
        <w:tblCellMar>
          <w:top w:w="0" w:type="dxa"/>
          <w:left w:w="0" w:type="dxa"/>
          <w:bottom w:w="0" w:type="dxa"/>
          <w:right w:w="0" w:type="dxa"/>
        </w:tblCellMar>
      </w:tblPr>
      <w:tr>
        <w:trPr>
          <w:trHeight w:val="180"/>
        </w:trPr>
        <w:tc>
          <w:tcPr>
            <w:tcW w:w="134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60"/>
              <w:spacing w:after="0" w:line="180"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w w:val="97"/>
              </w:rPr>
              <w:t> </w:t>
            </w:r>
          </w:p>
        </w:tc>
        <w:tc>
          <w:tcPr>
            <w:tcW w:w="0" w:type="dxa"/>
            <w:vAlign w:val="bottom"/>
          </w:tcPr>
          <w:p>
            <w:pPr>
              <w:spacing w:after="0"/>
              <w:rPr>
                <w:sz w:val="1"/>
                <w:szCs w:val="1"/>
                <w:color w:val="auto"/>
              </w:rPr>
            </w:pPr>
          </w:p>
        </w:tc>
      </w:tr>
      <w:tr>
        <w:trPr>
          <w:trHeight w:val="177"/>
        </w:trPr>
        <w:tc>
          <w:tcPr>
            <w:tcW w:w="1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Name(s):</w:t>
            </w:r>
          </w:p>
        </w:tc>
        <w:tc>
          <w:tcPr>
            <w:tcW w:w="8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-34925</wp:posOffset>
            </wp:positionV>
            <wp:extent cx="38061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1"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7"/>
        </w:trPr>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80" w:type="dxa"/>
            <w:vAlign w:val="bottom"/>
            <w:gridSpan w:val="2"/>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0" w:type="dxa"/>
            <w:vAlign w:val="bottom"/>
          </w:tcPr>
          <w:p>
            <w:pPr>
              <w:spacing w:after="0"/>
              <w:rPr>
                <w:sz w:val="1"/>
                <w:szCs w:val="1"/>
                <w:color w:val="auto"/>
              </w:rPr>
            </w:pPr>
          </w:p>
        </w:tc>
      </w:tr>
      <w:tr>
        <w:trPr>
          <w:trHeight w:val="180"/>
        </w:trPr>
        <w:tc>
          <w:tcPr>
            <w:tcW w:w="1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9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Capacity (full title):</w:t>
            </w:r>
          </w:p>
        </w:tc>
        <w:tc>
          <w:tcPr>
            <w:tcW w:w="240" w:type="dxa"/>
            <w:vAlign w:val="bottom"/>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80" w:type="dxa"/>
            <w:vAlign w:val="bottom"/>
            <w:gridSpan w:val="2"/>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0" w:type="dxa"/>
            <w:vAlign w:val="bottom"/>
          </w:tcPr>
          <w:p>
            <w:pPr>
              <w:spacing w:after="0"/>
              <w:rPr>
                <w:sz w:val="1"/>
                <w:szCs w:val="1"/>
                <w:color w:val="auto"/>
              </w:rPr>
            </w:pPr>
          </w:p>
        </w:tc>
      </w:tr>
      <w:tr>
        <w:trPr>
          <w:trHeight w:val="203"/>
        </w:trPr>
        <w:tc>
          <w:tcPr>
            <w:tcW w:w="19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9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Address:</w:t>
            </w:r>
          </w:p>
        </w:tc>
        <w:tc>
          <w:tcPr>
            <w:tcW w:w="240" w:type="dxa"/>
            <w:vAlign w:val="bottom"/>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80" w:type="dxa"/>
            <w:vAlign w:val="bottom"/>
            <w:gridSpan w:val="2"/>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0" w:type="dxa"/>
            <w:vAlign w:val="bottom"/>
          </w:tcPr>
          <w:p>
            <w:pPr>
              <w:spacing w:after="0"/>
              <w:rPr>
                <w:sz w:val="1"/>
                <w:szCs w:val="1"/>
                <w:color w:val="auto"/>
              </w:rPr>
            </w:pPr>
          </w:p>
        </w:tc>
      </w:tr>
      <w:tr>
        <w:trPr>
          <w:trHeight w:val="203"/>
        </w:trPr>
        <w:tc>
          <w:tcPr>
            <w:tcW w:w="19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9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Daytime Area Code and</w:t>
            </w: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4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Telephone Number:</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0"/>
        </w:trPr>
        <w:tc>
          <w:tcPr>
            <w:tcW w:w="198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or</w:t>
            </w:r>
          </w:p>
        </w:tc>
        <w:tc>
          <w:tcPr>
            <w:tcW w:w="2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No.:</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1600"/>
        <w:spacing w:after="0" w:line="262" w:lineRule="auto"/>
        <w:rPr>
          <w:sz w:val="20"/>
          <w:szCs w:val="20"/>
          <w:color w:val="auto"/>
        </w:rPr>
      </w:pPr>
      <w:r>
        <w:rPr>
          <w:rFonts w:ascii="Times New Roman" w:cs="Times New Roman" w:eastAsia="Times New Roman" w:hAnsi="Times New Roman"/>
          <w:sz w:val="18"/>
          <w:szCs w:val="18"/>
          <w:b w:val="1"/>
          <w:bCs w:val="1"/>
          <w:color w:val="auto"/>
        </w:rPr>
        <w:t>COMPLETE IRS FORM W-9 OR APPROPRIATE IRS FORM W-8. GUARANTEE OF SIGNATURE(S) (FOR USE BY ELIGIBLE INSTITUTIONS ONLY; SEE INSTRUCTIONS 1 AND 4)</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of Firm:</w:t>
            </w:r>
          </w:p>
        </w:tc>
        <w:tc>
          <w:tcPr>
            <w:tcW w:w="1260" w:type="dxa"/>
            <w:vAlign w:val="bottom"/>
            <w:gridSpan w:val="2"/>
          </w:tcPr>
          <w:p>
            <w:pPr>
              <w:jc w:val="right"/>
              <w:ind w:right="918"/>
              <w:spacing w:after="0"/>
              <w:rPr>
                <w:sz w:val="20"/>
                <w:szCs w:val="20"/>
                <w:color w:val="auto"/>
              </w:rPr>
            </w:pPr>
            <w:r>
              <w:rPr>
                <w:rFonts w:ascii="Times New Roman" w:cs="Times New Roman" w:eastAsia="Times New Roman" w:hAnsi="Times New Roman"/>
                <w:sz w:val="18"/>
                <w:szCs w:val="18"/>
                <w:color w:val="auto"/>
              </w:rPr>
              <w:t xml:space="preserve">​ ​  </w:t>
            </w:r>
          </w:p>
        </w:tc>
        <w:tc>
          <w:tcPr>
            <w:tcW w:w="4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5"/>
                <w:szCs w:val="15"/>
                <w:color w:val="auto"/>
              </w:rPr>
            </w:pPr>
          </w:p>
        </w:tc>
        <w:tc>
          <w:tcPr>
            <w:tcW w:w="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27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Address:</w:t>
            </w: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0" w:type="dxa"/>
            <w:vAlign w:val="bottom"/>
          </w:tcPr>
          <w:p>
            <w:pPr>
              <w:spacing w:after="0"/>
              <w:rPr>
                <w:sz w:val="1"/>
                <w:szCs w:val="1"/>
                <w:color w:val="auto"/>
              </w:rPr>
            </w:pPr>
          </w:p>
        </w:tc>
      </w:tr>
      <w:tr>
        <w:trPr>
          <w:trHeight w:val="203"/>
        </w:trPr>
        <w:tc>
          <w:tcPr>
            <w:tcW w:w="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7"/>
                <w:szCs w:val="17"/>
                <w:color w:val="auto"/>
              </w:rPr>
            </w:pPr>
          </w:p>
        </w:tc>
        <w:tc>
          <w:tcPr>
            <w:tcW w:w="2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27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Authorized Signature:</w:t>
            </w: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50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Name:</w:t>
            </w:r>
          </w:p>
        </w:tc>
        <w:tc>
          <w:tcPr>
            <w:tcW w:w="2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0" w:type="dxa"/>
            <w:vAlign w:val="bottom"/>
          </w:tcPr>
          <w:p>
            <w:pPr>
              <w:spacing w:after="0"/>
              <w:rPr>
                <w:sz w:val="1"/>
                <w:szCs w:val="1"/>
                <w:color w:val="auto"/>
              </w:rPr>
            </w:pPr>
          </w:p>
        </w:tc>
      </w:tr>
      <w:tr>
        <w:trPr>
          <w:trHeight w:val="203"/>
        </w:trPr>
        <w:tc>
          <w:tcPr>
            <w:tcW w:w="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7"/>
                <w:szCs w:val="17"/>
                <w:color w:val="auto"/>
              </w:rPr>
            </w:pPr>
          </w:p>
        </w:tc>
        <w:tc>
          <w:tcPr>
            <w:tcW w:w="2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27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Area Code and Telephone Number:</w:t>
            </w: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27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Dated:</w:t>
            </w: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NOTE: A notarization by a notary public is not acceptable.</w:t>
      </w:r>
    </w:p>
    <w:p>
      <w:pPr>
        <w:spacing w:after="0" w:line="15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158" w:lineRule="exact"/>
        <w:rPr>
          <w:sz w:val="20"/>
          <w:szCs w:val="20"/>
          <w:color w:val="auto"/>
        </w:rPr>
      </w:pPr>
    </w:p>
    <w:p>
      <w:pPr>
        <w:ind w:left="1260" w:right="419" w:firstLine="360"/>
        <w:spacing w:after="0" w:line="253" w:lineRule="auto"/>
        <w:tabs>
          <w:tab w:leader="none" w:pos="187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No signature guarantee is required on this Letter of Transmittal if (i)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of Transmittal is signed by the registered holder(s) of ADSs tendered herewith, unless such registered holder(s) has or have completed the box captioned “Special Delivery Instructions” or the box captioned “Special Payment Instructions” on this Letter of Transmittal or (ii) such ADSs are tendered for the account of a bank, broker, dealer, credit union, savings association or other entity that is a member in good standing of a Medallion Program approved by the Securities Transfer Agents Association, Inc., including the Securities Transfer Agents Medallion Program, the New York Stock Exchange, Inc. Medallion Signature Program or the Stock Exchange Medallion Program, or is otherwise an “eligible guarantor institution” as the term is defined in Exchange Act Rule 17Ad-15 (each an “</w:t>
      </w:r>
      <w:r>
        <w:rPr>
          <w:rFonts w:ascii="Times New Roman" w:cs="Times New Roman" w:eastAsia="Times New Roman" w:hAnsi="Times New Roman"/>
          <w:sz w:val="18"/>
          <w:szCs w:val="18"/>
          <w:b w:val="1"/>
          <w:bCs w:val="1"/>
          <w:color w:val="auto"/>
        </w:rPr>
        <w:t>Eligible Institution</w:t>
      </w:r>
      <w:r>
        <w:rPr>
          <w:rFonts w:ascii="Times New Roman" w:cs="Times New Roman" w:eastAsia="Times New Roman" w:hAnsi="Times New Roman"/>
          <w:sz w:val="18"/>
          <w:szCs w:val="18"/>
          <w:color w:val="auto"/>
        </w:rPr>
        <w:t>”). In all other cases, all signatures on this Letter of Transmittal must be guaranteed by an Eligible Institution. See Instruction 4. If you have any questions regarding the need for a signature guarantee, please call Georgeson LLC (the “Information Agent”) toll-free at (866) 585-6991.</w:t>
      </w:r>
    </w:p>
    <w:p>
      <w:pPr>
        <w:spacing w:after="0" w:line="340" w:lineRule="exact"/>
        <w:rPr>
          <w:rFonts w:ascii="Times New Roman" w:cs="Times New Roman" w:eastAsia="Times New Roman" w:hAnsi="Times New Roman"/>
          <w:sz w:val="18"/>
          <w:szCs w:val="18"/>
          <w:b w:val="1"/>
          <w:bCs w:val="1"/>
          <w:color w:val="auto"/>
        </w:rPr>
      </w:pPr>
    </w:p>
    <w:p>
      <w:pPr>
        <w:ind w:left="1260" w:right="459" w:firstLine="360"/>
        <w:spacing w:after="0" w:line="254" w:lineRule="auto"/>
        <w:tabs>
          <w:tab w:leader="none" w:pos="187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Requirements of Tender. </w:t>
      </w:r>
      <w:r>
        <w:rPr>
          <w:rFonts w:ascii="Times New Roman" w:cs="Times New Roman" w:eastAsia="Times New Roman" w:hAnsi="Times New Roman"/>
          <w:sz w:val="18"/>
          <w:szCs w:val="18"/>
          <w:color w:val="auto"/>
        </w:rPr>
        <w:t>This Letter of Transmittal is to be completed by holders of ADSs.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Instruction Form has been provided and is to be completed by holders of Class A Ordinary Shares not represented by ADSs. For a securityholder to properly tender ADSs pursuant to the Offer, (i) this Letter of Transmittal, properly completed and duly executed, including any required signature guarantees, and all other documents required by this Letter of Transmittal must be received by the Tender Agent at one of its addresses set forth on the back cover of the Offer to Purchase prior to the Expiration Time, or (ii) a securityholder’s ADSs must be delivered pursuant to the procedures for book-entry transfer described in the Offer to Purchase (and a properly completed and duly executed Letter of Transmittal), unless an Agent’s Message (as defined in the Offer to Purchase) confirming such delivery is received by the Tender Agent by the Expiration Time.</w:t>
      </w:r>
    </w:p>
    <w:p>
      <w:pPr>
        <w:spacing w:after="0" w:line="32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Tenders of ADSs made pursuant to the Offer may be withdrawn at any time prior to the Expiration Time. To withdraw tendered ADSs, securityholders must deliver a written notice of withdrawal to the Tender Agent within the prescribed time period at one of the addresses set forth in this Letter of Transmittal. If we have not accepted for payment the ADSs you have tendered to us, you may also withdraw your ADSs at any time after 12:00 Midnight, New York City time, at the end of the day on October 30, 2025, the completion of the 40th business day following the commencement of the Offer.</w:t>
      </w:r>
    </w:p>
    <w:p>
      <w:pPr>
        <w:spacing w:after="0" w:line="120"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Any notice of withdrawal must specify the name of the tendering securityholder, the number of ADSs to be withdrawn, and the name of the registered holder of such ADSs. Withdrawals may not be rescinded and any ADSs withdrawn will not be properly tendered for purposes of the Offer unless the withdrawn ADSs are properly re-tendered prior to the Expiration Time by following the procedures described above.</w:t>
      </w:r>
    </w:p>
    <w:p>
      <w:pPr>
        <w:spacing w:after="0" w:line="108" w:lineRule="exact"/>
        <w:rPr>
          <w:sz w:val="20"/>
          <w:szCs w:val="20"/>
          <w:color w:val="auto"/>
        </w:rPr>
      </w:pPr>
    </w:p>
    <w:p>
      <w:pPr>
        <w:ind w:left="1260" w:right="49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THE METHOD OF DELIVERY OF ADSs, THIS LETTER OF TRANSMITTAL AND ANY OTHER REQUIRED DOCUMENTS IS AT THE SOLE ELECTION AND RISK OF THE TENDERING SECURITYHOLDER. ADSs, AND THIS LETTER OF TRANSMITTAL AND ALL OTHER DOCUMENTS WILL BE DEEMED DELIVERED ONLY WHEN ACTUALLY RECEIVED BY THE TENDER AGENT. WHEN DELIVERING BY MAIL, WE RECOMMEND THAT YOU USE REGISTERED MAIL WITH RETURN RECEIPT REQUESTED, AND THAT YOU PROPERLY INSURE THE DOCUMENTS. IN ALL CASES, YOU SHOULD ALLOW SUFFICIENT TIME TO ENSURE TIMELY DELIVERY.</w:t>
      </w:r>
    </w:p>
    <w:p>
      <w:pPr>
        <w:spacing w:after="0" w:line="94"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Except as specifically provided by the Offer to Purchase, no alternative, conditional or contingent tenders will be accepted. No fractional ADSs will be purchased. All tendering securityholders, by execution of this Letter of Transmittal, waive any right to receive any notice of the acceptance for payment of their ADSs.</w:t>
      </w:r>
    </w:p>
    <w:p>
      <w:pPr>
        <w:spacing w:after="0" w:line="328" w:lineRule="exact"/>
        <w:rPr>
          <w:sz w:val="20"/>
          <w:szCs w:val="20"/>
          <w:color w:val="auto"/>
        </w:rPr>
      </w:pPr>
    </w:p>
    <w:p>
      <w:pPr>
        <w:ind w:left="1260" w:right="599" w:firstLine="360"/>
        <w:spacing w:after="0" w:line="268" w:lineRule="auto"/>
        <w:tabs>
          <w:tab w:leader="none" w:pos="187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in this Letter of Transmittal is inadequate,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ADSs should be listed on a separate signed schedule attached hereto. The same ADSs cannot be tendered more than once, unless previously properly withdrawn as provided in Section 4 of the Offer to Purchase.</w:t>
      </w: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60" w:lineRule="auto"/>
        <w:tabs>
          <w:tab w:leader="none" w:pos="187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Signatures on Letter of Transmittal, Stock Powers and Endorsements. </w:t>
      </w:r>
      <w:r>
        <w:rPr>
          <w:rFonts w:ascii="Times New Roman" w:cs="Times New Roman" w:eastAsia="Times New Roman" w:hAnsi="Times New Roman"/>
          <w:sz w:val="18"/>
          <w:szCs w:val="18"/>
          <w:color w:val="auto"/>
        </w:rPr>
        <w:t>If this Letter of Transmittal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registered holder(s) of ADSs tendered hereby, the signature(s) must correspond with the name(s) as written on a security position listing without any change or alteration whatsoever.</w:t>
      </w:r>
    </w:p>
    <w:p>
      <w:pPr>
        <w:spacing w:after="0" w:line="10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any of the ADSs tendered hereby are owned of record by two or more joint owners, all such persons must sign this Letter of Transmittal.</w:t>
      </w:r>
    </w:p>
    <w:p>
      <w:pPr>
        <w:spacing w:after="0" w:line="9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this Letter of Transmittal or any stock power is signed by a trustee, executor, administrator, guardian, attorney-in-fact, officer of a corporation or other person acting in a fiduciary or representative capacity, he or she should so indicate when signing and submit proper evidence satisfactory to the Company of his or her authority to so act.</w:t>
      </w:r>
    </w:p>
    <w:p>
      <w:pPr>
        <w:spacing w:after="0" w:line="110"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If this Letter of Transmittal is signed by the registered owner(s) of ADSs tendered hereby, no endorsements or separate stock powers are required unless payment of the purchase price is to be made to a person other than the registered owner(s). Signatures on any such stock powers must be guaranteed by an Eligible Institution.</w:t>
      </w:r>
    </w:p>
    <w:p>
      <w:pPr>
        <w:spacing w:after="0" w:line="323"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this Letter of Transmittal is signed by a person other than the registered owner(s) of ADSs tendered hereby, it must be accompanied by appropriate stock powers, in either case, signed exactly as the name(s) of the registered owner(s) appear(s) on the security position listing(s). The signature(s) on any such stock power(s) must be guaranteed by an Eligible Institution.</w:t>
      </w:r>
    </w:p>
    <w:p>
      <w:pPr>
        <w:spacing w:after="0" w:line="106" w:lineRule="exact"/>
        <w:rPr>
          <w:sz w:val="20"/>
          <w:szCs w:val="20"/>
          <w:color w:val="auto"/>
        </w:rPr>
      </w:pPr>
    </w:p>
    <w:p>
      <w:pPr>
        <w:ind w:left="1260" w:right="419" w:firstLine="360"/>
        <w:spacing w:after="0" w:line="245" w:lineRule="auto"/>
        <w:tabs>
          <w:tab w:leader="none" w:pos="187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Transfer Taxes. </w:t>
      </w:r>
      <w:r>
        <w:rPr>
          <w:rFonts w:ascii="Times New Roman" w:cs="Times New Roman" w:eastAsia="Times New Roman" w:hAnsi="Times New Roman"/>
          <w:sz w:val="18"/>
          <w:szCs w:val="18"/>
          <w:color w:val="auto"/>
        </w:rPr>
        <w:t>Except as otherwise provided in this Instruction 5, the Company will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transfer taxes with respect to the transfer and sale of ADSs to it pursuant to the Offer. If, however, payment of the purchase price for ADSs for payment is to be made to, or if ADSs not tendered or accepted for payment are to be registered in the name of, any person(s) other than the registered owner(s), or if ADSs tendered hereby are registered in the name(s) of any person(s) other than the person(s) signing this Letter of Transmittal, the amount of any share transfer taxes (whether imposed on the registered owner(s) or such other person(s)) will be payable on account of the transfer to such person(s) unless satisfactory evidence of the payment of such taxes or exemption from the payment of such taxes is submitted with this Letter of Transmittal.</w:t>
      </w:r>
    </w:p>
    <w:p>
      <w:pPr>
        <w:spacing w:after="0" w:line="32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Except as provided in this Instruction 5, it will not be necessary for transfer tax stamps to be affixed to this Letter of Transmittal.</w:t>
      </w:r>
    </w:p>
    <w:p>
      <w:pPr>
        <w:spacing w:after="0" w:line="91" w:lineRule="exact"/>
        <w:rPr>
          <w:sz w:val="20"/>
          <w:szCs w:val="20"/>
          <w:color w:val="auto"/>
        </w:rPr>
      </w:pPr>
    </w:p>
    <w:p>
      <w:pPr>
        <w:ind w:left="1260" w:right="439" w:firstLine="360"/>
        <w:spacing w:after="0" w:line="247" w:lineRule="auto"/>
        <w:tabs>
          <w:tab w:leader="none" w:pos="187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payment for the purchase price of any tendered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for payment is to be issued to, or in the name of, a person other than the signer of this Letter of Transmittal, or if payment is to be sent to a person other than the signer of this Letter of Transmittal or to an address other than that shown above, the appropriate boxes on this Letter of Transmittal should be completed (Item B and Item C).</w:t>
      </w:r>
    </w:p>
    <w:p>
      <w:pPr>
        <w:spacing w:after="0" w:line="109" w:lineRule="exact"/>
        <w:rPr>
          <w:rFonts w:ascii="Times New Roman" w:cs="Times New Roman" w:eastAsia="Times New Roman" w:hAnsi="Times New Roman"/>
          <w:sz w:val="18"/>
          <w:szCs w:val="18"/>
          <w:b w:val="1"/>
          <w:bCs w:val="1"/>
          <w:color w:val="auto"/>
        </w:rPr>
      </w:pPr>
    </w:p>
    <w:p>
      <w:pPr>
        <w:ind w:left="1260" w:right="439" w:firstLine="360"/>
        <w:spacing w:after="0" w:line="242" w:lineRule="auto"/>
        <w:tabs>
          <w:tab w:leader="none" w:pos="186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Conditions; Irregularities. </w:t>
      </w:r>
      <w:r>
        <w:rPr>
          <w:rFonts w:ascii="Times New Roman" w:cs="Times New Roman" w:eastAsia="Times New Roman" w:hAnsi="Times New Roman"/>
          <w:sz w:val="18"/>
          <w:szCs w:val="18"/>
          <w:color w:val="auto"/>
        </w:rPr>
        <w:t>All questions as to the number of ADSs to be accepted,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to be paid for ADSs to be accepted, the validity, form, eligibility (including time of receipt) and acceptance for payment of any tender of ADSs and the validity (including time of receipt) and form of any notice of withdrawal of tendered ADSs will be determined by the Company, in its sole discretion, subject to applicable laws, and such determination will be final and binding on all parties absent a finding to the contrary by a court of competent jurisdiction. The Company may delegate power in whole or in part to the Tender Agent. The Company reserves the absolute right to reject any or all tenders of any ADSs that the Company determines are not in proper form or the acceptance for payment of or payment for which may, in the opinion of the Company’s counsel, be unlawful. The Company reserves the absolute right to reject any notices of withdrawal that it determines are not in proper form. The Company also reserves the absolute right, subject to the applicable rules and regulations of the SEC, to waive any of the conditions of the Offer prior to the Expiration Time or any defect or irregularity in any tender or withdrawal with respect to any particular ADSs or any particular securityholder (whether or not the Company waives similar defects or irregularities in the case of other securityholders), and the Company’s interpretation of the terms of the Offer (including these instructions) will be final and binding on all parties absent a finding to the contrary by a court of competent jurisdiction. In the event a condition of the Offer is waived with respect to any particular securityholder, the same condition will be waived with respect to all securityholders. No tender or withdrawal of ADSs will be deemed to have been properly made until all defects or irregularities have been</w:t>
      </w:r>
    </w:p>
    <w:p>
      <w:pPr>
        <w:spacing w:after="0" w:line="37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 xml:space="preserve">cured by the tendering or withdrawing securityholder or waived by the Company. The Company will not be liable for failure to waive any condition of the Offer, or any defect or irregularity in any tender or withdrawal of ADSs. Unless waived, any defects or irregularities in connection with tenders or withdrawals must be cured within the period of time the Company determines. </w:t>
      </w:r>
      <w:r>
        <w:rPr>
          <w:rFonts w:ascii="Times New Roman" w:cs="Times New Roman" w:eastAsia="Times New Roman" w:hAnsi="Times New Roman"/>
          <w:sz w:val="18"/>
          <w:szCs w:val="18"/>
          <w:b w:val="1"/>
          <w:bCs w:val="1"/>
          <w:color w:val="auto"/>
        </w:rPr>
        <w:t>None of the Company, the Dealer Manager</w:t>
      </w:r>
    </w:p>
    <w:p>
      <w:pPr>
        <w:spacing w:after="0" w:line="3" w:lineRule="exact"/>
        <w:rPr>
          <w:sz w:val="20"/>
          <w:szCs w:val="20"/>
          <w:color w:val="auto"/>
        </w:rPr>
      </w:pPr>
    </w:p>
    <w:p>
      <w:pPr>
        <w:jc w:val="both"/>
        <w:ind w:left="1260" w:right="459"/>
        <w:spacing w:after="0"/>
        <w:rPr>
          <w:sz w:val="20"/>
          <w:szCs w:val="20"/>
          <w:color w:val="auto"/>
        </w:rPr>
      </w:pPr>
      <w:r>
        <w:rPr>
          <w:rFonts w:ascii="Times New Roman" w:cs="Times New Roman" w:eastAsia="Times New Roman" w:hAnsi="Times New Roman"/>
          <w:sz w:val="18"/>
          <w:szCs w:val="18"/>
          <w:b w:val="1"/>
          <w:bCs w:val="1"/>
          <w:color w:val="auto"/>
        </w:rPr>
        <w:t>(as defined below), the Information Agent, the Tender Agent or any other person will be obligated to give notice of any defects or irregularities in any tender or withdrawal, nor will any of the foregoing incur any liability for failure to give any such notification.</w:t>
      </w:r>
    </w:p>
    <w:p>
      <w:pPr>
        <w:spacing w:after="0" w:line="113" w:lineRule="exact"/>
        <w:rPr>
          <w:sz w:val="20"/>
          <w:szCs w:val="20"/>
          <w:color w:val="auto"/>
        </w:rPr>
      </w:pPr>
    </w:p>
    <w:p>
      <w:pPr>
        <w:ind w:left="1260" w:right="479" w:firstLine="360"/>
        <w:spacing w:after="0" w:line="242" w:lineRule="auto"/>
        <w:tabs>
          <w:tab w:leader="none" w:pos="187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Backup Withholding. </w:t>
      </w:r>
      <w:r>
        <w:rPr>
          <w:rFonts w:ascii="Times New Roman" w:cs="Times New Roman" w:eastAsia="Times New Roman" w:hAnsi="Times New Roman"/>
          <w:sz w:val="18"/>
          <w:szCs w:val="18"/>
          <w:color w:val="auto"/>
        </w:rPr>
        <w:t>Under U.S. federal income tax laws, the Depository will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 a portion of the amount of any payments made to certain shareholders (or other payees) pursuant to the Offer, as applicable. In order to avoid backup withholding of U.S. federal income tax on payments of cash pursuant to the Offer, a U.S. Holder (as defined below) tendering ADSs in the Offer must provide the Tender Agent or other applicable withholding agent with such U.S. Holder’s correct taxpayer identification number (“</w:t>
      </w:r>
      <w:r>
        <w:rPr>
          <w:rFonts w:ascii="Times New Roman" w:cs="Times New Roman" w:eastAsia="Times New Roman" w:hAnsi="Times New Roman"/>
          <w:sz w:val="18"/>
          <w:szCs w:val="18"/>
          <w:b w:val="1"/>
          <w:bCs w:val="1"/>
          <w:color w:val="auto"/>
        </w:rPr>
        <w:t>TIN</w:t>
      </w:r>
      <w:r>
        <w:rPr>
          <w:rFonts w:ascii="Times New Roman" w:cs="Times New Roman" w:eastAsia="Times New Roman" w:hAnsi="Times New Roman"/>
          <w:sz w:val="18"/>
          <w:szCs w:val="18"/>
          <w:color w:val="auto"/>
        </w:rPr>
        <w:t>”) (i.e., social security number or employer identification number) on a duly completed and properly executed IRS Form W-9, a copy of which can be obtained from the Tender Agent or from the IRS website (www.irs.gov), and certify under penalties of perjury that (i) the TIN provided is correct, (ii) (a) the U.S. Holder is exempt from backup withholding, (b) the U.S. Holder has not been notified by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that such U.S. Holder is subject to backup withholding as a result of a failure to report all interest or dividends, or (c) the IRS has notified the U.S. Holder that such U.S. Holder is no longer subject to backup withholding, and (iii) the U.S. Holder is a U.S. citizen or other U.S. person (as defined in the instructions to IRS Form W-9). If a U.S. Holder does not provide a correct TIN or fails to provide the certifications described above, the payment of cash to such U.S. Holder pursuant to the Offer would be subject to backup withholding at the applicable statutory rate (currently 24%).</w:t>
      </w:r>
    </w:p>
    <w:p>
      <w:pPr>
        <w:spacing w:after="0" w:line="12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is any securityholder that for U.S. federal income tax purposes is (i) an individual who is a citizen or resident alien of the United States, (ii) a corporation or other entity treated as a corporation created or organized under the laws of the United States, (iii) an estate the income of which is subject to U.S. federal income tax regardless of its source or (iv) a trust if (a) a court within the United States is able to exercise primary supervision over the administration of the trust, and one or more U.S. persons have the authority to control all substantial decisions of the trust or (b) it has a valid election in effect to be treated as a U.S. person.</w:t>
      </w:r>
    </w:p>
    <w:p>
      <w:pPr>
        <w:spacing w:after="0" w:line="3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ADSs,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ADSs, you are urged to consult with your tax advisor regarding the tax consequences of the purchase, ownership and disposition of ADSs.</w:t>
      </w:r>
    </w:p>
    <w:p>
      <w:pPr>
        <w:spacing w:after="0" w:line="114"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Rather, the amount of the backup withholding can be credited against the U.S. federal income tax liability of the person subject to the backup withholding, provided that the required information is timely filed with the IRS. If backup withholding results in an overpayment of tax, a refund can be obtained upon timely filing an income tax return.</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ADSs are held in more than one name or are not in the name of the actual owner, consult the instructions to IRS Form W-9 for guidance on which number to report. If a U.S. Holder has not been issued a TIN and has applied for one or intends to apply for one in the near future, such U.S. Holder should consult the instructions to IRS Form W-9 for guidance on how to complete IRS Form W-9.</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Non-U.S. Holders (as defined below) must provide the Tender Agent or other applicable withholding agent with a duly completed and properly executed IRS Form W-8BEN, W-8BEN-E or other applicable IRS Form W-8 in order to avoid backup withholding. A copy of the appropriate IRS Form W-8 may be obtained from the Tender Agent or from the IRS website (www.irs.gov).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is a securityholder that is not a U.S. Holder.</w:t>
      </w:r>
    </w:p>
    <w:p>
      <w:pPr>
        <w:spacing w:after="0" w:line="110" w:lineRule="exact"/>
        <w:rPr>
          <w:sz w:val="20"/>
          <w:szCs w:val="20"/>
          <w:color w:val="auto"/>
        </w:rPr>
      </w:pPr>
    </w:p>
    <w:p>
      <w:pPr>
        <w:jc w:val="both"/>
        <w:ind w:left="1260" w:right="3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Each Holder is urged to consult its tax advisors for further guidance regarding the completion of IRS Form W-9, IRS Form W-8BEN, IRS Form W-8BEN-E or another version of IRS Form W-8 to claim exemption from backup withholding.</w:t>
      </w:r>
    </w:p>
    <w:p>
      <w:pPr>
        <w:spacing w:after="0" w:line="3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firstLine="360"/>
        <w:spacing w:after="0" w:line="259" w:lineRule="auto"/>
        <w:tabs>
          <w:tab w:leader="none" w:pos="187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If you have questions or need assistance, you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contact the Information Agent or Needham &amp; Company, LLC (the “Dealer Manager”) at their respective addresses and telephone numbers set forth on Schedule I to the Offer to Purchase. If you require additional copies of the Offer to Purchase, this Letter of Transmittal, the IRS Form W-9 or other related materials, you should contact the Information Agent. Copies will be furnished promptly at the Company’s expense.</w:t>
      </w:r>
    </w:p>
    <w:p>
      <w:pPr>
        <w:spacing w:after="0" w:line="111" w:lineRule="exact"/>
        <w:rPr>
          <w:rFonts w:ascii="Times New Roman" w:cs="Times New Roman" w:eastAsia="Times New Roman" w:hAnsi="Times New Roman"/>
          <w:sz w:val="18"/>
          <w:szCs w:val="18"/>
          <w:b w:val="1"/>
          <w:bCs w:val="1"/>
          <w:color w:val="auto"/>
        </w:rPr>
      </w:pPr>
    </w:p>
    <w:p>
      <w:pPr>
        <w:ind w:left="1260" w:right="419" w:firstLine="360"/>
        <w:spacing w:after="0" w:line="253" w:lineRule="auto"/>
        <w:tabs>
          <w:tab w:leader="none" w:pos="195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Odd Lots. </w:t>
      </w:r>
      <w:r>
        <w:rPr>
          <w:rFonts w:ascii="Times New Roman" w:cs="Times New Roman" w:eastAsia="Times New Roman" w:hAnsi="Times New Roman"/>
          <w:sz w:val="18"/>
          <w:szCs w:val="18"/>
          <w:color w:val="auto"/>
        </w:rPr>
        <w:t>If the Company is to purchase fewer than all Class A Ordinary Shares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represented by ADSs) validly tendered and not validly withdrawn prior to the Expiration Time, the Class A Ordinary Shares (including Class A Ordinary Shares represented by ADSs) purchased first will consist of all Class A Ordinary Shares (including Class A Ordinary Shares represented by ADSs) validly tendered and not validly withdrawn prior to the Expiration Time by any securityholder who held or beneficially owned, a total of fewer than 100 Class A Ordinary Shares (including Class A Ordinary Shares represented by ADSs), and who tenders all such Class A Ordinary Shares (including Class A Ordinary Shares represented by ADSs) in accordance with the procedures described in Section 3 of the Offer to Purchase. This preference will not be available to you unless you complete the section captioned “Odd Lots” in this Letter of Transmittal. This preference is not available to partial tenders or registered holders or beneficial owners of 100 or more Class A Ordinary Shares (including Class A Ordinary Shares represented by ADSs) in the aggregate, even if these holders have separate accounts representing fewer than 100 Class A Ordinary Shares (including Class A Ordinary Shares represented by ADSs).</w:t>
      </w:r>
    </w:p>
    <w:p>
      <w:pPr>
        <w:spacing w:after="0" w:line="119" w:lineRule="exact"/>
        <w:rPr>
          <w:rFonts w:ascii="Times New Roman" w:cs="Times New Roman" w:eastAsia="Times New Roman" w:hAnsi="Times New Roman"/>
          <w:sz w:val="18"/>
          <w:szCs w:val="18"/>
          <w:b w:val="1"/>
          <w:bCs w:val="1"/>
          <w:color w:val="auto"/>
        </w:rPr>
      </w:pPr>
    </w:p>
    <w:p>
      <w:pPr>
        <w:ind w:left="1260" w:right="579" w:firstLine="360"/>
        <w:spacing w:after="0" w:line="262" w:lineRule="auto"/>
        <w:tabs>
          <w:tab w:leader="none" w:pos="194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 of Purchase in Event of Proration. </w:t>
      </w:r>
      <w:r>
        <w:rPr>
          <w:rFonts w:ascii="Times New Roman" w:cs="Times New Roman" w:eastAsia="Times New Roman" w:hAnsi="Times New Roman"/>
          <w:sz w:val="18"/>
          <w:szCs w:val="18"/>
          <w:color w:val="auto"/>
        </w:rPr>
        <w:t>As described in Section 1 of the Offer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securityholders may designate the order in which their ADSs are to be purchased in the event of proration. The order of purchase may have an effect on the U.S. federal income tax classification and the amount of any gain or loss on ADSs purchased. See Section 1 and Section 12 of the Offer to Purchase.</w:t>
      </w:r>
    </w:p>
    <w:p>
      <w:pPr>
        <w:spacing w:after="0" w:line="9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IMPORTANT</w:t>
      </w:r>
      <w:r>
        <w:rPr>
          <w:rFonts w:ascii="Times New Roman" w:cs="Times New Roman" w:eastAsia="Times New Roman" w:hAnsi="Times New Roman"/>
          <w:sz w:val="17"/>
          <w:szCs w:val="17"/>
          <w:b w:val="1"/>
          <w:bCs w:val="1"/>
          <w:color w:val="auto"/>
        </w:rPr>
        <w:t>: THIS LETTER OF TRANSMITTAL, TOGETHER WITH ANY REQUIRED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SIGNATURE GUARANTEES, AND ANY OTHER REQUIRED DOCUMENTS, MUST BE RECEIVED BY THE TENDER AGENT PRIOR TO THE EXPIRATION TIME, OR THE TENDERING SECURITYHOLDER MUST COMPLY WITH THE PROCEDURES FOR GUARANTEED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 EXHIBIT (a)(1)(E)​</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for Tender of Class A Ordinary Shares represented by American Depositary Shares, including those ADSs</w:t>
      </w:r>
    </w:p>
    <w:p>
      <w:pPr>
        <w:spacing w:after="0" w:line="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subject to transfer restrictions (collectively, “ADSs”)</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September 3, 2025, as amended by the Supplemental Notice, dated</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September 12, 2025</w:t>
      </w:r>
    </w:p>
    <w:p>
      <w:pPr>
        <w:spacing w:after="0" w:line="8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1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Up to 225,000,000 of its Class A Ordinary Shares (including Class A Ordinary Shares represented by ADSs)</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At a Purchase Price of $3.00/45 per Class A Ordinary Share (or $3.00 per ADS)</w:t>
      </w:r>
    </w:p>
    <w:p>
      <w:pPr>
        <w:spacing w:after="0" w:line="18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OFFER, PRORATION PERIOD AND WITHDRAWAL RIGHTS WILL EXPIRE</w:t>
      </w:r>
    </w:p>
    <w:p>
      <w:pPr>
        <w:spacing w:after="0" w:line="31" w:lineRule="exact"/>
        <w:rPr>
          <w:sz w:val="20"/>
          <w:szCs w:val="20"/>
          <w:color w:val="auto"/>
        </w:rPr>
      </w:pPr>
    </w:p>
    <w:p>
      <w:pPr>
        <w:jc w:val="center"/>
        <w:ind w:left="1800" w:right="120"/>
        <w:spacing w:after="0"/>
        <w:rPr>
          <w:sz w:val="20"/>
          <w:szCs w:val="20"/>
          <w:color w:val="auto"/>
        </w:rPr>
      </w:pPr>
      <w:r>
        <w:rPr>
          <w:rFonts w:ascii="Times New Roman" w:cs="Times New Roman" w:eastAsia="Times New Roman" w:hAnsi="Times New Roman"/>
          <w:sz w:val="18"/>
          <w:szCs w:val="18"/>
          <w:b w:val="1"/>
          <w:bCs w:val="1"/>
          <w:color w:val="auto"/>
        </w:rPr>
        <w:t>AT 12:00 MIDNIGHT, NEW YORK CITY TIME, AT THE END OF THE DAY ON SEPTEMBER 30, 2025, UNLESS THE OFFER IS EXTENDED OR TERMINATED (SUCH DATE AND TIME, AS THEY MAY BE EXTENDED,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hereby withdraws the tender of his, her or its American Depositary Shares (the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 each representing 45 Class A ordinary shares, par value $0.001 per share (the “</w:t>
      </w:r>
      <w:r>
        <w:rPr>
          <w:rFonts w:ascii="Times New Roman" w:cs="Times New Roman" w:eastAsia="Times New Roman" w:hAnsi="Times New Roman"/>
          <w:sz w:val="18"/>
          <w:szCs w:val="18"/>
          <w:b w:val="1"/>
          <w:bCs w:val="1"/>
          <w:i w:val="1"/>
          <w:iCs w:val="1"/>
          <w:color w:val="auto"/>
        </w:rPr>
        <w:t>Class A Ordinary</w:t>
      </w:r>
    </w:p>
    <w:p>
      <w:pPr>
        <w:ind w:left="1260"/>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Moatable,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Moatable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pursuant to the offer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to purchase up to 225,000,000 of its Class A Ordinary Shares (including Class A Ordinary Shares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represented by ADSs) at a price of $3.00/45 per Class A Ordinary Share (or $3.00 per ADS) (the “</w:t>
      </w:r>
      <w:r>
        <w:rPr>
          <w:rFonts w:ascii="Times New Roman" w:cs="Times New Roman" w:eastAsia="Times New Roman" w:hAnsi="Times New Roman"/>
          <w:sz w:val="18"/>
          <w:szCs w:val="18"/>
          <w:b w:val="1"/>
          <w:bCs w:val="1"/>
          <w:i w:val="1"/>
          <w:iCs w:val="1"/>
          <w:color w:val="auto"/>
        </w:rPr>
        <w:t>Purchase</w:t>
      </w:r>
    </w:p>
    <w:p>
      <w:pPr>
        <w:ind w:left="1260"/>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net to the seller in cash, less a cash distribution fee of $0.05 per ADS accepted for purchase in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 (as defined below) less any applicable withholding taxes and without interest, upon the terms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conditions described in the Offer to Purchase, dated September 3, 2025 (together with any amendments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supplements thereto,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in the related Letter of Transmittal (together with 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amendments or supplements thereto, the “</w:t>
      </w:r>
      <w:r>
        <w:rPr>
          <w:rFonts w:ascii="Times New Roman" w:cs="Times New Roman" w:eastAsia="Times New Roman" w:hAnsi="Times New Roman"/>
          <w:sz w:val="18"/>
          <w:szCs w:val="18"/>
          <w:b w:val="1"/>
          <w:bCs w:val="1"/>
          <w:i w:val="1"/>
          <w:iCs w:val="1"/>
          <w:color w:val="auto"/>
        </w:rPr>
        <w:t>Letter of Transmittal</w:t>
      </w:r>
      <w:r>
        <w:rPr>
          <w:rFonts w:ascii="Times New Roman" w:cs="Times New Roman" w:eastAsia="Times New Roman" w:hAnsi="Times New Roman"/>
          <w:sz w:val="18"/>
          <w:szCs w:val="18"/>
          <w:color w:val="auto"/>
        </w:rPr>
        <w:t>”) and in other related materials as may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amended or supplemented from time to time (collectively, with the Offer to Purchase and this Letter of</w:t>
      </w:r>
    </w:p>
    <w:p>
      <w:pPr>
        <w:ind w:left="1260"/>
        <w:spacing w:after="0"/>
        <w:rPr>
          <w:sz w:val="20"/>
          <w:szCs w:val="20"/>
          <w:color w:val="auto"/>
        </w:rPr>
      </w:pPr>
      <w:r>
        <w:rPr>
          <w:rFonts w:ascii="Times New Roman" w:cs="Times New Roman" w:eastAsia="Times New Roman" w:hAnsi="Times New Roman"/>
          <w:sz w:val="18"/>
          <w:szCs w:val="18"/>
          <w:color w:val="auto"/>
        </w:rPr>
        <w:t>Transmittal,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If you have questions or need assistance, you should contact Georgeson LLC, the information agent for the offer (the “ </w:t>
      </w:r>
      <w:r>
        <w:rPr>
          <w:rFonts w:ascii="Times New Roman" w:cs="Times New Roman" w:eastAsia="Times New Roman" w:hAnsi="Times New Roman"/>
          <w:sz w:val="18"/>
          <w:szCs w:val="18"/>
          <w:b w:val="1"/>
          <w:bCs w:val="1"/>
          <w:i w:val="1"/>
          <w:iCs w:val="1"/>
          <w:color w:val="auto"/>
        </w:rPr>
        <w:t>Information Agent</w:t>
      </w:r>
      <w:r>
        <w:rPr>
          <w:rFonts w:ascii="Times New Roman" w:cs="Times New Roman" w:eastAsia="Times New Roman" w:hAnsi="Times New Roman"/>
          <w:sz w:val="18"/>
          <w:szCs w:val="18"/>
          <w:color w:val="auto"/>
        </w:rPr>
        <w:t>”) at its address and telephone number set forth on Schedule I to the Offer to Purchase. If you require additional copies of the Offer to Purchase, the Letter of Transmittal, or other related materials, you should contact the Information Agent. Copies will be furnished promptly at the Company’s expense.</w:t>
      </w:r>
    </w:p>
    <w:p>
      <w:pPr>
        <w:spacing w:after="0" w:line="11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All withdrawals of ADSs previously tendered in the Offer must comply with the procedures set forth in Section 4 of the Offer to Purchase.</w:t>
      </w:r>
    </w:p>
    <w:p>
      <w:pPr>
        <w:spacing w:after="0" w:line="9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undersigned has identified in the table below the ADSs that are being withdrawn from the Offer. If a stockholder has used more than one Letter of Transmittal or has otherwise tendered ADSs in more than one group of ADSs, the stockholder may withdraw ADSs using either separate written notices of withdrawal or a combined written notice of withdrawal, so long as the information specified below is included.</w:t>
      </w:r>
    </w:p>
    <w:p>
      <w:pPr>
        <w:sectPr>
          <w:pgSz w:w="11900" w:h="16838" w:orient="portrait"/>
          <w:cols w:equalWidth="0" w:num="1">
            <w:col w:w="9879"/>
          </w:cols>
          <w:pgMar w:left="580" w:top="97" w:right="1440" w:bottom="1440" w:gutter="0" w:footer="0" w:header="0"/>
        </w:sectPr>
      </w:pP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54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 OF ADSs TO BE WITHDRAWN</w:t>
            </w: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spacing w:after="0"/>
              <w:rPr>
                <w:sz w:val="15"/>
                <w:szCs w:val="15"/>
                <w:color w:val="auto"/>
              </w:rPr>
            </w:pPr>
          </w:p>
        </w:tc>
        <w:tc>
          <w:tcPr>
            <w:tcW w:w="4580" w:type="dxa"/>
            <w:vAlign w:val="bottom"/>
            <w:gridSpan w:val="2"/>
          </w:tcPr>
          <w:p>
            <w:pPr>
              <w:ind w:left="460"/>
              <w:spacing w:after="0" w:line="18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ADSs to be withdrawn:</w:t>
            </w:r>
          </w:p>
        </w:tc>
        <w:tc>
          <w:tcPr>
            <w:tcW w:w="680" w:type="dxa"/>
            <w:vAlign w:val="bottom"/>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r>
      <w:tr>
        <w:trPr>
          <w:trHeight w:val="385"/>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spacing w:after="0"/>
              <w:rPr>
                <w:sz w:val="24"/>
                <w:szCs w:val="24"/>
                <w:color w:val="auto"/>
              </w:rPr>
            </w:pPr>
          </w:p>
        </w:tc>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81"/>
        </w:trPr>
        <w:tc>
          <w:tcPr>
            <w:tcW w:w="158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CUSIP No.:</w:t>
            </w:r>
          </w:p>
        </w:tc>
        <w:tc>
          <w:tcPr>
            <w:tcW w:w="1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r>
      <w:tr>
        <w:trPr>
          <w:trHeight w:val="41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spacing w:after="0"/>
              <w:rPr>
                <w:sz w:val="24"/>
                <w:szCs w:val="24"/>
                <w:color w:val="auto"/>
              </w:rPr>
            </w:pPr>
          </w:p>
        </w:tc>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81"/>
        </w:trPr>
        <w:tc>
          <w:tcPr>
            <w:tcW w:w="35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Name of Tendering Stockholder:</w:t>
            </w:r>
          </w:p>
        </w:tc>
        <w:tc>
          <w:tcPr>
            <w:tcW w:w="680" w:type="dxa"/>
            <w:vAlign w:val="bottom"/>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r>
      <w:tr>
        <w:trPr>
          <w:trHeight w:val="412"/>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spacing w:after="0"/>
              <w:rPr>
                <w:sz w:val="24"/>
                <w:szCs w:val="24"/>
                <w:color w:val="auto"/>
              </w:rPr>
            </w:pPr>
          </w:p>
        </w:tc>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81"/>
        </w:trPr>
        <w:tc>
          <w:tcPr>
            <w:tcW w:w="354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Name of Registered Holder of the ADSs:</w:t>
            </w:r>
          </w:p>
        </w:tc>
        <w:tc>
          <w:tcPr>
            <w:tcW w:w="680" w:type="dxa"/>
            <w:vAlign w:val="bottom"/>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7" w:lineRule="exact"/>
        <w:rPr>
          <w:sz w:val="20"/>
          <w:szCs w:val="20"/>
          <w:color w:val="auto"/>
        </w:rPr>
      </w:pPr>
    </w:p>
    <w:p>
      <w:pPr>
        <w:sectPr>
          <w:pgSz w:w="11900" w:h="16838" w:orient="portrait"/>
          <w:cols w:equalWidth="0" w:num="2">
            <w:col w:w="9380" w:space="80"/>
            <w:col w:w="419"/>
          </w:cols>
          <w:pgMar w:left="580" w:top="97"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For withdrawals of ADSs delivered through The Depository Trust Company (the “Book-Entry Transfer Facility”), this notice of withdrawal (this “Notice of Withdrawal”) should only be used for such withdrawals if the undersigned needs to withdraw ADSs after the Book-Entry Transfer Facility closes, which is expected to occur on the Expiration Time. Otherwise, the Book-Entry Transfer Facility’s form of notice of withdrawal should be used to withdraw such ADSs.</w:t>
      </w:r>
    </w:p>
    <w:p>
      <w:pPr>
        <w:spacing w:after="0" w:line="9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Once the Book-Entry Transfer Facility has closed, if you beneficially own ADSs that were previously delivered through the Book-Entry Transfer Facility, then in order to properly withdraw your ADSs, the institution through which your ADSs are held must deliver by overnight courier or mail this Notice of Withdrawal to Citibank, N.A., the depositary for the Offer (the “</w:t>
      </w:r>
      <w:r>
        <w:rPr>
          <w:rFonts w:ascii="Times New Roman" w:cs="Times New Roman" w:eastAsia="Times New Roman" w:hAnsi="Times New Roman"/>
          <w:sz w:val="18"/>
          <w:szCs w:val="18"/>
          <w:b w:val="1"/>
          <w:bCs w:val="1"/>
          <w:i w:val="1"/>
          <w:iCs w:val="1"/>
          <w:color w:val="auto"/>
        </w:rPr>
        <w:t>Tender Agent</w:t>
      </w:r>
      <w:r>
        <w:rPr>
          <w:rFonts w:ascii="Times New Roman" w:cs="Times New Roman" w:eastAsia="Times New Roman" w:hAnsi="Times New Roman"/>
          <w:sz w:val="18"/>
          <w:szCs w:val="18"/>
          <w:color w:val="auto"/>
        </w:rPr>
        <w:t>”) prior to the Expiration Time.</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By Mail:</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 ​</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By Registered or Overnight Delivery:</w:t>
            </w:r>
          </w:p>
        </w:tc>
        <w:tc>
          <w:tcPr>
            <w:tcW w:w="3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Computershare Trust Company, N.A.</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Computershare Trust Company, N.A.</w:t>
            </w:r>
          </w:p>
        </w:tc>
        <w:tc>
          <w:tcPr>
            <w:tcW w:w="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 Voluntary Corporate Actions</w:t>
            </w:r>
          </w:p>
        </w:tc>
        <w:tc>
          <w:tcPr>
            <w:tcW w:w="7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 Voluntary Corporate Actions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 Box 43011</w:t>
            </w:r>
          </w:p>
        </w:tc>
        <w:tc>
          <w:tcPr>
            <w:tcW w:w="7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 Royall Street, Suite V</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Providence, RI 02940-3011</w:t>
            </w:r>
          </w:p>
        </w:tc>
        <w:tc>
          <w:tcPr>
            <w:tcW w:w="7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Canton, MA 02021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You should consult with such institution on the procedures that must be complied with and the time by which such procedures must be completed to ensure that the institution has ample time to submit this Notice of Withdrawal on your behalf prior to the Expiration Time.</w:t>
      </w:r>
    </w:p>
    <w:p>
      <w:pPr>
        <w:spacing w:after="0" w:line="8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This form must be signed below by the applicable Book-Entry Transfer Facility participant as its name appears on a security position listing showing such participant as the owner of the ADSs being tendered. If signed by a trustee, executor, administrator, guardian, attorney-in-fact, officer or other person acting in a fiduciary or representative capacity, please set forth the full title of such persons.</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21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Book-Entry Transfer Facility Participant: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18"/>
                <w:szCs w:val="18"/>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4"/>
                <w:szCs w:val="2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Number(s):</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0"/>
                <w:szCs w:val="2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(Full Title):</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(and Zip Code):</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Number:</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 or SSN:</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Transfer Facility Participant No.:</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Code Number:</w:t>
            </w: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900" w:type="dxa"/>
            <w:vAlign w:val="bottom"/>
            <w:tcBorders>
              <w:bottom w:val="single" w:sz="8" w:color="auto"/>
            </w:tcBorders>
          </w:tcPr>
          <w:p>
            <w:pPr>
              <w:spacing w:after="0"/>
              <w:rPr>
                <w:sz w:val="21"/>
                <w:szCs w:val="2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6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will determine all questions as to the form and validity, including the time of receipt, of any notice of withdrawal, in our sole discretion, which determination will be final and binding on all parties absent a finding to the contrary by a court of competent jurisdiction. Neither we nor the Tender Agent, the Information Agent or any other person will be obligated to give notice of any defects or irregularities in any notice of withdrawal, nor will any of the foregoing incur liability for failure to give any such notification.</w:t>
      </w:r>
    </w:p>
    <w:p>
      <w:pPr>
        <w:spacing w:after="0" w:line="96"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Withdrawals may not be rescinded, and any ADSs properly withdrawn will be deemed not properly tendered for purposes of the Offer. However, withdrawn ADSs may be re-tendered before the Expiration Time by again following one of the procedures described in Section 3 of the Offer to Purchase.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 EXHIBIT (a)(1)(G)​</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Maples Fund Services (Cayman) Limited (the “Registrar”)</w:t>
      </w:r>
    </w:p>
    <w:p>
      <w:pPr>
        <w:ind w:left="1260"/>
        <w:spacing w:after="0" w:line="220" w:lineRule="auto"/>
        <w:rPr>
          <w:sz w:val="20"/>
          <w:szCs w:val="20"/>
          <w:color w:val="auto"/>
        </w:rPr>
      </w:pPr>
      <w:r>
        <w:rPr>
          <w:rFonts w:ascii="Times New Roman" w:cs="Times New Roman" w:eastAsia="Times New Roman" w:hAnsi="Times New Roman"/>
          <w:sz w:val="18"/>
          <w:szCs w:val="18"/>
          <w:color w:val="auto"/>
        </w:rPr>
        <w:t>c/o Maples Fund Services (Asia) Limited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Central Plaza, 18 Harbour Road, Wanchai, Hong Kong</w:t>
      </w:r>
    </w:p>
    <w:p>
      <w:pPr>
        <w:spacing w:after="0" w:line="1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IMMEDIATE ATTENTION REQUIRED</w:t>
      </w: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 Tender Offer by Moatable, Inc.</w:t>
      </w:r>
    </w:p>
    <w:p>
      <w:pPr>
        <w:ind w:left="1260"/>
        <w:spacing w:after="0"/>
        <w:rPr>
          <w:sz w:val="20"/>
          <w:szCs w:val="20"/>
          <w:color w:val="auto"/>
        </w:rPr>
      </w:pPr>
      <w:r>
        <w:rPr>
          <w:rFonts w:ascii="Times New Roman" w:cs="Times New Roman" w:eastAsia="Times New Roman" w:hAnsi="Times New Roman"/>
          <w:sz w:val="18"/>
          <w:szCs w:val="18"/>
          <w:b w:val="1"/>
          <w:bCs w:val="1"/>
          <w:color w:val="auto"/>
        </w:rPr>
        <w:t>RESPONSE DUE BY 30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SEPTEMBER 2025, EASTERN TIME</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Securityholder:</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Enclosed for your consideration are the Offer to Purchase, dated September 3, 2025 (together with any amendments or supplements thereto, the “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in connection with the offer by Moatable, Inc., an exempted company incorporated under the laws of the Cayman Islands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Moatable,</w:t>
      </w:r>
      <w:r>
        <w:rPr>
          <w:rFonts w:ascii="Times New Roman" w:cs="Times New Roman" w:eastAsia="Times New Roman" w:hAnsi="Times New Roman"/>
          <w:sz w:val="18"/>
          <w:szCs w:val="18"/>
          <w:color w:val="auto"/>
        </w:rPr>
        <w:t>”), to purchase up to 225,000,000 Class A ordinary shares, par value $0.001 per share (“</w:t>
      </w:r>
      <w:r>
        <w:rPr>
          <w:rFonts w:ascii="Times New Roman" w:cs="Times New Roman" w:eastAsia="Times New Roman" w:hAnsi="Times New Roman"/>
          <w:sz w:val="18"/>
          <w:szCs w:val="18"/>
          <w:b w:val="1"/>
          <w:bCs w:val="1"/>
          <w:i w:val="1"/>
          <w:iCs w:val="1"/>
          <w:color w:val="auto"/>
        </w:rPr>
        <w:t>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(including Class A Ordinary Shares represented by any American Depositary Shares (the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each representing 45 Class A Ordinary Shares), at a price of $3.00/45 per Class A Ordinary Share (or $3.00 per ADS)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net to the seller in cash, less any applicable withholding taxes, without interest, and with respect to ADSs a cash distribution fee of $ 0.05 per ADS accepted for purchase in the Offer (as defined below) that will be paid to Citibank, N.A., the Company’s ADS depositary, upon the terms and subject to the conditions described in the Offer to Purchase and other related materials as may be amended or supplemented from time to time (collectively, with the Offer to Purchase,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The Offer will expire at 12:00 midnight, New York City time, at the end of the day on September 30, 2025, unless the Offer is extended or terminated by us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xml:space="preserve">”). You must return the Instruction Form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to Maples Fund Services (Cayman) Limited by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30th September 2025, EASTERN TIME </w:t>
      </w:r>
      <w:r>
        <w:rPr>
          <w:rFonts w:ascii="Times New Roman" w:cs="Times New Roman" w:eastAsia="Times New Roman" w:hAnsi="Times New Roman"/>
          <w:sz w:val="18"/>
          <w:szCs w:val="18"/>
          <w:color w:val="auto"/>
        </w:rPr>
        <w:t>to participate in the Offer.</w:t>
      </w:r>
    </w:p>
    <w:p>
      <w:pPr>
        <w:spacing w:after="0" w:line="12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Capitalized terms used herein and not defined herein shall have the meanings given to them in the Offer to Purchase. The description of the Offer in this letter is only a summary and is qualified by all of the terms and conditions of the Offer set forth in the Offer to Purchase and other related materials, which are available to the public on the United States Securities and Exchange Commission’s website at www.sec.gov.</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if 225,000,000 Class A Ordinary Shares (including Class A Ordinary Shares represented by ADSs) or less are properly tendered and not properly withdrawn prior to the Expiration Time, the Company will purchase all Class A Ordinary Shares (including Class A Ordinary Shares represented by ADSs) properly tendered and not properly withdrawn. Class A Ordinary Shares (including Class A Ordinary Shares represented by ADSs) acquired, if any, in the Offer will be acquired at the Purchase Price. Only Class A Ordinary Shares (including Class A Ordinary Shares represented by ADSs) properly tendered and not properly withdrawn will be purchased. However, because of proration and the “odd lot” priority and provisions described in the Offer to Purchase, the Company may not purchase all of the Class A Ordinary Shares (including Class A Ordinary Shares represented by ADSs) tendered if more than 225,000,000 Class A Ordinary Shares (including Class A Ordinary Shares represented by ADSs) are properly tendered and not properly withdrawn. Class A Ordinary Shares (including Class A Ordinary Shares represented by ADSs) not purchased in the Offer will be returned to the tendering securityholders as promptly as practicable after the Expiration Time.</w:t>
      </w:r>
    </w:p>
    <w:p>
      <w:pPr>
        <w:spacing w:after="0" w:line="12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Company expressly reserves the right, in its sole discretion, to change the Purchase Price and to increase or decrease the number of Class A Ordinary Shares (including Class A Ordinary Shares represented by ADSs) sought in the Offer, subject to applicable law. In accordance with the rules of the Securities and Exchange Commission, if more than 225,000,000 Class A Ordinary Shares (including Class A Ordinary Shares represented by ADSs) are properly tendered in the Offer and not properly withdrawn, the Company may increase the number of Class A Ordinary Shares (including Class A Ordinary Shares represented by ADSs) accepted for payment in the Offer by no more than 2% of the outstanding Class A Ordinary Shares (including Class A Ordinary Shares represented by ADSs) without extending the Offer. However, if the Company purchases an additional number of Class A Ordinary Shares (including Class A Ordinary</w:t>
      </w:r>
    </w:p>
    <w:p>
      <w:pPr>
        <w:spacing w:after="0" w:line="3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represented by ADSs) in excess of 2% of the outstanding Class A Ordinary Shares (including</w:t>
      </w:r>
    </w:p>
    <w:p>
      <w:pPr>
        <w:spacing w:after="0" w:line="27"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color w:val="auto"/>
        </w:rPr>
        <w:t>Class A Ordinary Shares represented by ADSs), the Company will amend and extend the Offer to the extent required by applicable law.</w:t>
      </w:r>
    </w:p>
    <w:p>
      <w:pPr>
        <w:spacing w:after="0" w:line="11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Offer is for Class A Ordinary Shares (including Class A Ordinary Shares represented by ADSs). Tender of any other securities, including vested options without following the procedures noted in the Offer to Purchase, will not be accepted and returned to the tendering securityholders at our expense promptly after the expiration or termination of the Offer.</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holder of Class A Ordinary Shares not held in the form of ADSs, you may tender your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Ordinary Shares in either of the following manners:</w:t>
      </w:r>
    </w:p>
    <w:p>
      <w:pPr>
        <w:spacing w:after="0" w:line="99" w:lineRule="exact"/>
        <w:rPr>
          <w:sz w:val="20"/>
          <w:szCs w:val="20"/>
          <w:color w:val="auto"/>
        </w:rPr>
      </w:pPr>
    </w:p>
    <w:p>
      <w:pPr>
        <w:ind w:left="1800" w:right="419" w:hanging="180"/>
        <w:spacing w:after="0" w:line="25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first deposit such Class A Ordinary Shares with the ADS Depositary, subject to the terms and conditions set forth in the that certain Deposit Agreement, dated as of May 4, 2011, as amended by Amendment No. 1 to Deposit Agreement, dated as of February 6, 2017 and as amended by Amendment No. 2 to Deposit Agreement, dated as of January 9, 2020 (as amended and supplemented from time to time, the “</w:t>
      </w:r>
      <w:r>
        <w:rPr>
          <w:rFonts w:ascii="Times New Roman" w:cs="Times New Roman" w:eastAsia="Times New Roman" w:hAnsi="Times New Roman"/>
          <w:sz w:val="18"/>
          <w:szCs w:val="18"/>
          <w:b w:val="1"/>
          <w:bCs w:val="1"/>
          <w:i w:val="1"/>
          <w:iCs w:val="1"/>
          <w:color w:val="auto"/>
        </w:rPr>
        <w:t>Deposit Agreement</w:t>
      </w:r>
      <w:r>
        <w:rPr>
          <w:rFonts w:ascii="Times New Roman" w:cs="Times New Roman" w:eastAsia="Times New Roman" w:hAnsi="Times New Roman"/>
          <w:sz w:val="18"/>
          <w:szCs w:val="18"/>
          <w:color w:val="auto"/>
        </w:rPr>
        <w:t xml:space="preserve">”), by and among the Company, the ADS Depositary, and all Holders and Beneficial Owners (each as defined in the Deposit Agreement) of ADSs issued thereunder, in exchange for the issuance, by the ADS Depositary, of the corresponding ADSs and complete and submit the Letter of Transmittal with respect to ADSs. The Company has agreed to pay any issuance fee payable to the ADS Depositary for the issuance of ADSs in connection with the Offer. </w:t>
      </w:r>
      <w:r>
        <w:rPr>
          <w:rFonts w:ascii="Times New Roman" w:cs="Times New Roman" w:eastAsia="Times New Roman" w:hAnsi="Times New Roman"/>
          <w:sz w:val="18"/>
          <w:szCs w:val="18"/>
          <w:b w:val="1"/>
          <w:bCs w:val="1"/>
          <w:i w:val="1"/>
          <w:iCs w:val="1"/>
          <w:color w:val="auto"/>
        </w:rPr>
        <w:t>Please provide yourself sufficient time to complete the process to deposit your Class A Ordinary</w:t>
      </w:r>
    </w:p>
    <w:p>
      <w:pPr>
        <w:spacing w:after="0" w:line="5" w:lineRule="exact"/>
        <w:rPr>
          <w:rFonts w:ascii="Times New Roman" w:cs="Times New Roman" w:eastAsia="Times New Roman" w:hAnsi="Times New Roman"/>
          <w:sz w:val="18"/>
          <w:szCs w:val="18"/>
          <w:color w:val="auto"/>
        </w:rPr>
      </w:pPr>
    </w:p>
    <w:p>
      <w:pPr>
        <w:ind w:left="1800" w:right="41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Shares with Citibank, N.A., as ADS Depositary, in exchange for ADSs. Please be advised that the ADS Depositary will close its books to ADS issuances five (5) business days prior to the Expiration Time. Accordingly, if you are a holder of Class A Ordinary Shares and you wish to receive corresponding ADSs to participate in the Offer, you must deposit your Class A Ordinary Shares with the ADS Depositary at least five</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(5) business days prior to Expiration Time. </w:t>
      </w: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800" w:right="69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complete and submit the Instruction Form with respect to Class A Ordinary Shares to Maples Fund Services (Cayman) Limited, the Company’s registrar (the “Registrar”) and, if your Class A Ordinary Shares are in certificated form, include such certificate(s) with the Class A Instruction Form.</w:t>
      </w:r>
    </w:p>
    <w:p>
      <w:pPr>
        <w:spacing w:after="0" w:line="319"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If you are a holder of vested options, you may exercise your vested options and receive Class A Ordinary Shares, which you may then tender as described above for Class A Ordinary Shares. You must exercise your options sufficiently in advance of the Expiration Time to receive your Class A Ordinary Shares in order to tender. An exercise of an option cannot be revoked even if Class A Ordinary Shares received upon the exercise thereof and tendered in the Offer are not purchased in the Offer for any reason.</w:t>
      </w:r>
    </w:p>
    <w:p>
      <w:pPr>
        <w:spacing w:after="0" w:line="11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Reminder of Page Internationally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INSTRUCTION FORM FOR CLASS A ORDINARY SHARES NOT HELD IN THE FORM OF ADSs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September 3, 2025 (together with any amendments or supplements thereto,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and other related materials (together with any amendments or supplements thereto and the Offer to Purchase,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in connection with the offer by Moatable, Inc., an exempted company incorporated under the laws of the Cayman Islands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purchase up to 225,000,000 Class A ordinary shares, par value $0.001 per share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(including Class A Ordinary Shares represented by American Depositary Shares (the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 of the Company, each representing 45 Class A Ordinary Shares), at a price of $3.00/45 per Class A Ordinary Share (or $3.00 per ADS)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net to the seller in cash, less any applicable withholding taxes, without interest, and with respect to ADSs, less a cash distribution fee of $0.05 per ADS accepted for purchase in the Offer that will be paid to Citibank, N.A., the Company’s ADS depositary, upon the terms and subject to the conditions of the Offer. Capitalized terms used herein and not defined herein shall have the meanings given to them in the Offer to Purchase.</w:t>
      </w:r>
    </w:p>
    <w:p>
      <w:pPr>
        <w:spacing w:after="0" w:line="11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undersigned hereby instruct(s) you to tender to the Company the number of Class A Ordinary Shares indicated below, or, if no number is specified, all Class A Ordinary Shares you hold for the account of the undersigned, at the price per Class A Ordinary Share indicated below, upon the terms and subject to the conditions of the Offer.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Aggregate Number Of Class A Ordinary Shares To Be Tendered By You For The Account Of The Undersigned:</w:t>
      </w:r>
    </w:p>
    <w:p>
      <w:pPr>
        <w:spacing w:after="0" w:line="169" w:lineRule="exact"/>
        <w:rPr>
          <w:sz w:val="20"/>
          <w:szCs w:val="20"/>
          <w:color w:val="auto"/>
        </w:rPr>
      </w:pPr>
    </w:p>
    <w:p>
      <w:pPr>
        <w:ind w:left="1360" w:hanging="100"/>
        <w:spacing w:after="0"/>
        <w:tabs>
          <w:tab w:leader="none" w:pos="1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9188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spacing w:after="0" w:line="205" w:lineRule="exact"/>
        <w:rPr>
          <w:sz w:val="20"/>
          <w:szCs w:val="20"/>
          <w:color w:val="auto"/>
        </w:rPr>
      </w:pPr>
    </w:p>
    <w:p>
      <w:pPr>
        <w:ind w:left="1260" w:right="679"/>
        <w:spacing w:after="0" w:line="271" w:lineRule="auto"/>
        <w:tabs>
          <w:tab w:leader="none" w:pos="138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Unless otherwise indicated, it will be assumed that all Class A Ordinary Shares held by us for your account are to be tendered.</w:t>
      </w:r>
    </w:p>
    <w:p>
      <w:pPr>
        <w:spacing w:after="0" w:line="15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ODD LOTS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As described in Section 1 of the Offer to Purchase, under certain conditions, holders of a total of fewer than 100 Class A Ordinary Shares (including Class A Ordinary Shares represented by ADSs) may have their tendered Class A Ordinary Shares (including Class A Ordinary Shares represented by ADSs) accepted for payment before any proration of other tendered Class A Ordinary Shares (including Class A Ordinary Shares represented by ADSs). This preference is not available to partial tenders or registered holders or beneficial owners of 100 or more Class A Ordinary Shares (including Class A Ordinary Shares represented by ADSs) in the aggregate, even if these holders have separate accounts or certificates representing fewer than 100 Class A Ordinary Shares (including Class A Ordinary Shares represented by ADSs). </w:t>
      </w:r>
      <w:r>
        <w:rPr>
          <w:rFonts w:ascii="Times New Roman" w:cs="Times New Roman" w:eastAsia="Times New Roman" w:hAnsi="Times New Roman"/>
          <w:sz w:val="18"/>
          <w:szCs w:val="18"/>
          <w:b w:val="1"/>
          <w:bCs w:val="1"/>
          <w:color w:val="auto"/>
        </w:rPr>
        <w:t>Accordingly, this 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is to be completed only if </w:t>
      </w:r>
      <w:r>
        <w:rPr>
          <w:rFonts w:ascii="Times New Roman" w:cs="Times New Roman" w:eastAsia="Times New Roman" w:hAnsi="Times New Roman"/>
          <w:sz w:val="18"/>
          <w:szCs w:val="18"/>
          <w:color w:val="auto"/>
        </w:rPr>
        <w:t>Class A Ordinary Shares (including Class A Ordinary Shares represented by ADSs)</w:t>
      </w:r>
    </w:p>
    <w:p>
      <w:pPr>
        <w:spacing w:after="0" w:line="3"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are being tendered by or on behalf of a person who held or beneficially owned, as of the close of business on the date set forth on the signature page hereto, and who continues to hold or beneficially own, as of the Expiration Time, an aggregate of fewer than 100 </w:t>
      </w:r>
      <w:r>
        <w:rPr>
          <w:rFonts w:ascii="Times New Roman" w:cs="Times New Roman" w:eastAsia="Times New Roman" w:hAnsi="Times New Roman"/>
          <w:sz w:val="18"/>
          <w:szCs w:val="18"/>
          <w:color w:val="auto"/>
        </w:rPr>
        <w:t>Class A Ordinary Shares (including Class A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ADSs)</w:t>
      </w:r>
      <w:r>
        <w:rPr>
          <w:rFonts w:ascii="Times New Roman" w:cs="Times New Roman" w:eastAsia="Times New Roman" w:hAnsi="Times New Roman"/>
          <w:sz w:val="18"/>
          <w:szCs w:val="18"/>
          <w:b w:val="1"/>
          <w:bCs w:val="1"/>
          <w:color w:val="auto"/>
        </w:rPr>
        <w:t>.</w:t>
      </w:r>
    </w:p>
    <w:p>
      <w:pPr>
        <w:spacing w:after="0" w:line="115" w:lineRule="exact"/>
        <w:rPr>
          <w:sz w:val="20"/>
          <w:szCs w:val="20"/>
          <w:color w:val="auto"/>
        </w:rPr>
      </w:pPr>
    </w:p>
    <w:p>
      <w:pPr>
        <w:ind w:left="1260" w:right="499" w:firstLine="360"/>
        <w:spacing w:after="0" w:line="227" w:lineRule="exact"/>
        <w:rPr>
          <w:sz w:val="20"/>
          <w:szCs w:val="20"/>
          <w:color w:val="auto"/>
        </w:rPr>
      </w:pPr>
      <w:r>
        <w:rPr>
          <w:rFonts w:ascii="Times New Roman" w:cs="Times New Roman" w:eastAsia="Times New Roman" w:hAnsi="Times New Roman"/>
          <w:sz w:val="18"/>
          <w:szCs w:val="18"/>
          <w:color w:val="auto"/>
        </w:rPr>
        <w:t xml:space="preserve">By checking the following checkbox, the undersigned hereby represents that the undersigned held or beneficially owned of an aggregate of fewer than 100 Class A Ordinary Shares (including Class A Ordinary Shares represented by ADSs) and is tendering all of such Class A Ordinary Shares (including Class A Ordinary Shares represented by ADSs): </w:t>
      </w:r>
      <w:r>
        <w:rPr>
          <w:rFonts w:ascii="MS PGothic" w:cs="MS PGothic" w:eastAsia="MS PGothic" w:hAnsi="MS PGothic"/>
          <w:sz w:val="18"/>
          <w:szCs w:val="18"/>
          <w:color w:val="auto"/>
          <w:highlight w:val="black"/>
        </w:rPr>
        <w:t>☐</w:t>
      </w:r>
    </w:p>
    <w:p>
      <w:pPr>
        <w:spacing w:after="0" w:line="88"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shareholder. If delivery is by mail, then registered mail with return receipt requested, properly insured, is recommended. In all cases, sufficient time should be allowed to ensure timely delivery.</w:t>
      </w:r>
    </w:p>
    <w:p>
      <w:pPr>
        <w:spacing w:after="0" w:line="103"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Company’s Board of Directors has authorized the Company to make the Offer. However, none of the Company, any of the members of its Board of Directors, Georgeson LLC, the information agent for the Offer (the “</w:t>
      </w:r>
      <w:r>
        <w:rPr>
          <w:rFonts w:ascii="Times New Roman" w:cs="Times New Roman" w:eastAsia="Times New Roman" w:hAnsi="Times New Roman"/>
          <w:sz w:val="17"/>
          <w:szCs w:val="17"/>
          <w:b w:val="1"/>
          <w:bCs w:val="1"/>
          <w:i w:val="1"/>
          <w:iCs w:val="1"/>
          <w:color w:val="auto"/>
        </w:rPr>
        <w:t>Information Agent”</w:t>
      </w:r>
      <w:r>
        <w:rPr>
          <w:rFonts w:ascii="Times New Roman" w:cs="Times New Roman" w:eastAsia="Times New Roman" w:hAnsi="Times New Roman"/>
          <w:sz w:val="17"/>
          <w:szCs w:val="17"/>
          <w:b w:val="1"/>
          <w:bCs w:val="1"/>
          <w:color w:val="auto"/>
        </w:rPr>
        <w:t>), the Registrar, or Needham &amp; Company, LLC, the dealer manager for the Offer (the “</w:t>
      </w:r>
      <w:r>
        <w:rPr>
          <w:rFonts w:ascii="Times New Roman" w:cs="Times New Roman" w:eastAsia="Times New Roman" w:hAnsi="Times New Roman"/>
          <w:sz w:val="17"/>
          <w:szCs w:val="17"/>
          <w:b w:val="1"/>
          <w:bCs w:val="1"/>
          <w:i w:val="1"/>
          <w:iCs w:val="1"/>
          <w:color w:val="auto"/>
        </w:rPr>
        <w:t>Dealer Manager</w:t>
      </w:r>
      <w:r>
        <w:rPr>
          <w:rFonts w:ascii="Times New Roman" w:cs="Times New Roman" w:eastAsia="Times New Roman" w:hAnsi="Times New Roman"/>
          <w:sz w:val="17"/>
          <w:szCs w:val="17"/>
          <w:b w:val="1"/>
          <w:bCs w:val="1"/>
          <w:color w:val="auto"/>
        </w:rPr>
        <w:t>”) makes any recommendation to securityholders as to whether they should tender or refrain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575310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72" w:lineRule="auto"/>
        <w:rPr>
          <w:sz w:val="20"/>
          <w:szCs w:val="20"/>
          <w:color w:val="auto"/>
        </w:rPr>
      </w:pPr>
      <w:r>
        <w:rPr>
          <w:rFonts w:ascii="Times New Roman" w:cs="Times New Roman" w:eastAsia="Times New Roman" w:hAnsi="Times New Roman"/>
          <w:sz w:val="17"/>
          <w:szCs w:val="17"/>
          <w:b w:val="1"/>
          <w:bCs w:val="1"/>
          <w:color w:val="auto"/>
        </w:rPr>
        <w:t>from tendering their Class A Ordinary Shares (including Class A Ordinary Shares represented by ADSs). None of the Company, any of the members of its Board of Directors, the Information Agent, the Registrar or the Dealer Manager has authorized any person to make any recommendation to you as to whether you should tender or refrain from tendering your Class A Ordinary Shares (including Class A Ordinary Shares represented by ADSs). Securityholders should carefully evaluate all information in the Offer to Purchase, consult their own financial and tax advisors and make their own decisions about whether to tender or refrain from tendering your Class A Ordinary Shares (including Class A Ordinary Shares represented by ADSs) and, if deciding to tender and how many Class A Ordinary Shares (including Class A Ordinary Shares represented by ADSs) to tender.</w:t>
      </w:r>
    </w:p>
    <w:p>
      <w:pPr>
        <w:spacing w:after="0" w:line="108"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I understand that if I sign, date and return this Instruction Form but do not provide Maples Fund Services (Cayman) Limited and Moatable with direction, Moatable will treat this action as an instruction by me not to tender the Class A Ordinary Shares held by me.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-7620</wp:posOffset>
            </wp:positionV>
            <wp:extent cx="2743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-16510</wp:posOffset>
            </wp:positionV>
            <wp:extent cx="2580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4">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Taxpayer Identification or</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Social Security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-7620</wp:posOffset>
            </wp:positionV>
            <wp:extent cx="21170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Address(es): 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-7620</wp:posOffset>
            </wp:positionV>
            <wp:extent cx="24688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Daytime Telephone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-16510</wp:posOffset>
            </wp:positionV>
            <wp:extent cx="19888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-7620</wp:posOffset>
            </wp:positionV>
            <wp:extent cx="2802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Return this form to:</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Maples Fund Services (Cayman) Limited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 Maples Fund Servies (Asia) Limited</w:t>
      </w:r>
    </w:p>
    <w:p>
      <w:pPr>
        <w:ind w:left="1260" w:right="3639"/>
        <w:spacing w:after="0" w:line="223" w:lineRule="auto"/>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Central Plaza, 18 Harbour Road, Wanchai, Hong Kong Attention: Investor Services Department (MCCS)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e-mail address: mfs-mccs@maples.com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3884930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158" w:lineRule="exact"/>
        <w:rPr>
          <w:sz w:val="20"/>
          <w:szCs w:val="20"/>
          <w:color w:val="auto"/>
        </w:rPr>
      </w:pPr>
    </w:p>
    <w:p>
      <w:pPr>
        <w:ind w:left="1260" w:right="499" w:firstLine="360"/>
        <w:spacing w:after="0" w:line="247" w:lineRule="auto"/>
        <w:tabs>
          <w:tab w:leader="none" w:pos="187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No signature guarantee is required on this Instruction Form if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 Form is signed by the registered holder(s) of Class A Ordinary Shares tendered herewith. In all other cases, all signatures on this Instruction Form must be guaranteed by an Eligible Institution. See Instruction 4. If you have any questions regarding the need for a signature guarantee, please call Georgeson LLC (the “Information Agent”) toll-free at (866) 585-6991.</w:t>
      </w:r>
    </w:p>
    <w:p>
      <w:pPr>
        <w:spacing w:after="0" w:line="109" w:lineRule="exact"/>
        <w:rPr>
          <w:rFonts w:ascii="Times New Roman" w:cs="Times New Roman" w:eastAsia="Times New Roman" w:hAnsi="Times New Roman"/>
          <w:sz w:val="18"/>
          <w:szCs w:val="18"/>
          <w:b w:val="1"/>
          <w:bCs w:val="1"/>
          <w:color w:val="auto"/>
        </w:rPr>
      </w:pPr>
    </w:p>
    <w:p>
      <w:pPr>
        <w:ind w:left="1260" w:right="419" w:firstLine="360"/>
        <w:spacing w:after="0" w:line="246" w:lineRule="auto"/>
        <w:tabs>
          <w:tab w:leader="none" w:pos="187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Requirements of Tender. </w:t>
      </w:r>
      <w:r>
        <w:rPr>
          <w:rFonts w:ascii="Times New Roman" w:cs="Times New Roman" w:eastAsia="Times New Roman" w:hAnsi="Times New Roman"/>
          <w:sz w:val="18"/>
          <w:szCs w:val="18"/>
          <w:color w:val="auto"/>
        </w:rPr>
        <w:t>This Instruction Form is to be completed by holders of Class A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not represented by ADSs. A separate Letter of Transmittal has been provided and is to be completed by holders of Class A Ordinary Shares represented by ADSs. For a securityholder to properly tender Class A Ordinary Shares pursuant to the Offer, (i) this Instruction Form, properly completed and duly executed, including any required signature guarantees, and all other documents required by this Instruction Form must be received by Maples Fund Services (Cayman) Limited (the “Registrar”) at its address set forth above prior to the Expiration Time.</w:t>
      </w:r>
    </w:p>
    <w:p>
      <w:pPr>
        <w:spacing w:after="0" w:line="11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Tenders of Class A Ordinary Shares made pursuant to the Offer may be withdrawn at any time prior to the Expiration Time. To withdraw Class A Ordinary Shares, securityholders must deliver a written notice of withdrawal to the Registrar within the prescribed time period at the address set forth above. If we have not accepted for payment the Class A Ordinary Shares you have tendered to us, you may also withdraw your Class A Ordinary Shares at any time after 12:00 Midnight, New York City time, at the end of the day on October 30, 2025, the completion of the 40th business day following the commencement of the Offer.</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Any notice of withdrawal must specify the name of the tendering securityholder, the number of Class A Ordinary Shares to be withdrawn, and the name of the registered holder of such Class A Ordinary Shares. Withdrawals may not be rescinded and any Class A Ordinary Shares withdrawn will not be properly tendered for purposes of the Offer unless the withdrawn Class A Ordinary Shares are properly re-tendered prior to the Expiration Time by following the procedures described above.</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THE METHOD OF DELIVERY OF CLASS A ORDINARY SHARES, THIS INSTRUCTION FORM AND ANY OTHER REQUIRED DOCUMENTS IS AT THE SOLE ELECTION AND RISK OF THE TENDERING SECURITYHOLDER. CLASS A ORDINARY SHARES, AND THIS INSTRUCTION FORM AND ALL OTHER DOCUMENTS WILL BE DEEMED DELIVERED ONLY WHEN ACTUALLY RECEIVED BY THE REGISTRAR. WHEN DELIVERING BY MAIL, WE RECOMMEND THAT YOU USE REGISTERED MAIL WITH RETURN RECEIPT REQUESTED, AND THAT YOU PROPERLY INSURE THE DOCUMENTS. IN ALL CASES, YOU SHOULD ALLOW SUFFICIENT TIME TO ENSURE TIMELY DELIVERY.</w:t>
      </w:r>
    </w:p>
    <w:p>
      <w:pPr>
        <w:spacing w:after="0" w:line="116"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Except as specifically provided by the Offer to Purchase, no alternative, conditional or contingent tenders will be accepted. No fractional Class A Ordinary Shares will be purchased. All tendering securityholders, by execution of this Instruction Form, waive any right to receive any notice of the acceptance for payment of their Class A Ordinary Shares.</w:t>
      </w:r>
    </w:p>
    <w:p>
      <w:pPr>
        <w:spacing w:after="0" w:line="108" w:lineRule="exact"/>
        <w:rPr>
          <w:sz w:val="20"/>
          <w:szCs w:val="20"/>
          <w:color w:val="auto"/>
        </w:rPr>
      </w:pPr>
    </w:p>
    <w:p>
      <w:pPr>
        <w:ind w:left="1260" w:right="599" w:firstLine="360"/>
        <w:spacing w:after="0" w:line="268" w:lineRule="auto"/>
        <w:tabs>
          <w:tab w:leader="none" w:pos="187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in this Instruction Form is inadequate,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should be listed on a separate signed schedule attached hereto. The same Class A Ordinary Shares cannot be tendered more than once, unless previously properly withdrawn.</w:t>
      </w:r>
    </w:p>
    <w:p>
      <w:pPr>
        <w:spacing w:after="0" w:line="103" w:lineRule="exact"/>
        <w:rPr>
          <w:rFonts w:ascii="Times New Roman" w:cs="Times New Roman" w:eastAsia="Times New Roman" w:hAnsi="Times New Roman"/>
          <w:sz w:val="18"/>
          <w:szCs w:val="18"/>
          <w:b w:val="1"/>
          <w:bCs w:val="1"/>
          <w:color w:val="auto"/>
        </w:rPr>
      </w:pPr>
    </w:p>
    <w:p>
      <w:pPr>
        <w:ind w:left="1260" w:right="519" w:firstLine="360"/>
        <w:spacing w:after="0" w:line="268" w:lineRule="auto"/>
        <w:tabs>
          <w:tab w:leader="none" w:pos="187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Signatures on Instruction Form, Stock Powers and Endorsements. </w:t>
      </w:r>
      <w:r>
        <w:rPr>
          <w:rFonts w:ascii="Times New Roman" w:cs="Times New Roman" w:eastAsia="Times New Roman" w:hAnsi="Times New Roman"/>
          <w:sz w:val="18"/>
          <w:szCs w:val="18"/>
          <w:color w:val="auto"/>
        </w:rPr>
        <w:t>If this Instruction Form is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registered holder(s) of Class A Ordinary Shares tendered hereby, the signature(s) must correspond with the name(s) as written on a security position listing without any change or alteration whatsoever.</w:t>
      </w:r>
    </w:p>
    <w:p>
      <w:pPr>
        <w:spacing w:after="0" w:line="94"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If any of the Class A Ordinary Shares tendered hereby are owned of record by two or more joint owners, all such persons must sign this Instruction Form.</w:t>
      </w:r>
    </w:p>
    <w:p>
      <w:pPr>
        <w:spacing w:after="0" w:line="9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If this Instruction Form or any stock power is signed by a trustee, executor, administrator, guardian, attorney-in-fact, officer of a corporation or other person acting in a fiduciary or representative capacity,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or she should so indicate when signing and submit proper evidence satisfactory to the Company of his or her authority to so act.</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this Instruction Form is signed by the registered owner(s) of Class A Ordinary Shares tendered hereby, no endorsements or separate stock powers are required unless payment of the purchase price is to be made to a person other than the registered owner(s). Signatures on any such stock powers must be guaranteed by an Eligible Institution.</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this Instruction Form is signed by a person other than the registered owner(s) of Class A Ordinary Shares tendered hereby, it must be accompanied by appropriate stock powers, in either case, signed exactly as the name(s) of the registered owner(s) appear(s) on the security position listing(s). The signature(s) on any such stock power(s) must be guaranteed by an Eligible Institution.</w:t>
      </w:r>
    </w:p>
    <w:p>
      <w:pPr>
        <w:spacing w:after="0" w:line="106" w:lineRule="exact"/>
        <w:rPr>
          <w:sz w:val="20"/>
          <w:szCs w:val="20"/>
          <w:color w:val="auto"/>
        </w:rPr>
      </w:pPr>
    </w:p>
    <w:p>
      <w:pPr>
        <w:ind w:left="1260" w:right="419" w:firstLine="360"/>
        <w:spacing w:after="0" w:line="243" w:lineRule="auto"/>
        <w:tabs>
          <w:tab w:leader="none" w:pos="187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Transfer Taxes. </w:t>
      </w:r>
      <w:r>
        <w:rPr>
          <w:rFonts w:ascii="Times New Roman" w:cs="Times New Roman" w:eastAsia="Times New Roman" w:hAnsi="Times New Roman"/>
          <w:sz w:val="18"/>
          <w:szCs w:val="18"/>
          <w:color w:val="auto"/>
        </w:rPr>
        <w:t>Except as otherwise provided in this Instruction 5, the Company will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transfer taxes with respect to the transfer and sale of Class A Ordinary Shares to it pursuant to the Offer. If, however, payment of the purchase price for Class A Ordinary Shares for payment is to be made to, or if Class A Ordinary Shares not tendered or accepted for payment are to be registered in the name of, any person(s) other than the registered owner(s), or if Class A Ordinary Shares tendered hereby are registered in the name(s) of any person(s) other than the person(s) signing this Instruction Form, the amount of any share transfer taxes (whether imposed on the registered owner(s) or such other person(s)) will be payable on account of the transfer to such person(s) unless satisfactory evidence of the payment of such taxes or exemption from the payment of such taxes is submitted with this Instruction Form.</w:t>
      </w:r>
    </w:p>
    <w:p>
      <w:pPr>
        <w:spacing w:after="0" w:line="116"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Except as provided in this Instruction 5, it will not be necessary for transfer tax stamps to be affixed to this Instruction Form.</w:t>
      </w:r>
    </w:p>
    <w:p>
      <w:pPr>
        <w:spacing w:after="0" w:line="63" w:lineRule="exact"/>
        <w:rPr>
          <w:sz w:val="20"/>
          <w:szCs w:val="20"/>
          <w:color w:val="auto"/>
        </w:rPr>
      </w:pPr>
    </w:p>
    <w:p>
      <w:pPr>
        <w:ind w:left="1260" w:right="419" w:firstLine="360"/>
        <w:spacing w:after="0" w:line="241" w:lineRule="auto"/>
        <w:tabs>
          <w:tab w:leader="none" w:pos="186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Conditions; Irregularities. </w:t>
      </w:r>
      <w:r>
        <w:rPr>
          <w:rFonts w:ascii="Times New Roman" w:cs="Times New Roman" w:eastAsia="Times New Roman" w:hAnsi="Times New Roman"/>
          <w:sz w:val="18"/>
          <w:szCs w:val="18"/>
          <w:color w:val="auto"/>
        </w:rPr>
        <w:t>All questions as to the number of Class A Ordinary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accepted, the purchase price to be paid for Class A Ordinary Shares to be accepted, the validity, form, eligibility (including time of receipt) and acceptance for payment of any tender of Class A Ordinary Shares and the validity (including time of receipt) and form of any notice of withdrawal of tendered Class A Ordinary Shares will be determined by the Company, in its sole discretion, subject to applicable laws, and such determination will be final and binding on all parties absent a finding to the contrary by a court of competent jurisdiction. The Company reserves the absolute right to reject any or all tenders of any Class A Ordinary Shares that the Company determines are not in proper form or the acceptance for payment of or payment for which may, in the opinion of the Company’s counsel, be unlawful. The Company reserves the absolute right to reject any notices of withdrawal that it determines are not in proper form. The Company also reserves the absolute right, subject to the applicable rules and regulations of the SEC, to waive any of the conditions of the Offer prior to the Expiration Time or any defect or irregularity in any tender or withdrawal with respect to any particular Class A Ordinary Shares or any particular securityholder (whether or not the Company waives similar defects or irregularities in the case of other securityholders), and the Company’s interpretation of the terms of the Offer (including these instructions) will be final and binding on all parties absent a finding to the contrary by a court of competent jurisdiction. In the event a condition of the Offer is waived with respect to any particular securityholder, the same condition will be waived with respect to all securityholders. No tender or withdrawal of Class A Ordinary Shares will be deemed to have been properly made until all defects or irregularities have been cured by the tendering or withdrawing securityholder or waived by the Company. The Company will not be liable for failure to waive any condition of the Offer, or any defect or irregularity in any tender or withdrawal of Class A Ordinary Shares. Unless waived, any defects or irregularities in connection with tenders or withdrawals must be cured within the period of time the Company determines. </w:t>
      </w:r>
      <w:r>
        <w:rPr>
          <w:rFonts w:ascii="Times New Roman" w:cs="Times New Roman" w:eastAsia="Times New Roman" w:hAnsi="Times New Roman"/>
          <w:sz w:val="18"/>
          <w:szCs w:val="18"/>
          <w:b w:val="1"/>
          <w:bCs w:val="1"/>
          <w:color w:val="auto"/>
        </w:rPr>
        <w:t>None of the Company, the Dealer Manager, the Information</w:t>
      </w:r>
    </w:p>
    <w:p>
      <w:pPr>
        <w:spacing w:after="0" w:line="216" w:lineRule="exact"/>
        <w:rPr>
          <w:rFonts w:ascii="Times New Roman" w:cs="Times New Roman" w:eastAsia="Times New Roman" w:hAnsi="Times New Roman"/>
          <w:sz w:val="18"/>
          <w:szCs w:val="18"/>
          <w:b w:val="1"/>
          <w:bCs w:val="1"/>
          <w:color w:val="auto"/>
        </w:rPr>
      </w:pPr>
    </w:p>
    <w:p>
      <w:pPr>
        <w:jc w:val="both"/>
        <w:ind w:left="1260" w:right="639"/>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Agent, the Registrar or any other person will be obligated to give notice of any defects or irregularities in any tender or withdrawal, nor will any of the foregoing incur any liability for failure to give any such notification.</w:t>
      </w:r>
    </w:p>
    <w:p>
      <w:pPr>
        <w:spacing w:after="0" w:line="88" w:lineRule="exact"/>
        <w:rPr>
          <w:rFonts w:ascii="Times New Roman" w:cs="Times New Roman" w:eastAsia="Times New Roman" w:hAnsi="Times New Roman"/>
          <w:sz w:val="18"/>
          <w:szCs w:val="18"/>
          <w:b w:val="1"/>
          <w:bCs w:val="1"/>
          <w:color w:val="auto"/>
        </w:rPr>
      </w:pPr>
    </w:p>
    <w:p>
      <w:pPr>
        <w:ind w:left="1260" w:right="499" w:firstLine="360"/>
        <w:spacing w:after="0" w:line="248" w:lineRule="auto"/>
        <w:tabs>
          <w:tab w:leader="none" w:pos="187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Backup Withholding. </w:t>
      </w:r>
      <w:r>
        <w:rPr>
          <w:rFonts w:ascii="Times New Roman" w:cs="Times New Roman" w:eastAsia="Times New Roman" w:hAnsi="Times New Roman"/>
          <w:sz w:val="18"/>
          <w:szCs w:val="18"/>
          <w:color w:val="auto"/>
        </w:rPr>
        <w:t>Under U.S. federal income tax laws, the Company will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 a portion of the amount of any payments made to certain shareholders (or other payees) pursuant to the Offer, as applicable. In order to avoid backup withholding of U.S. federal income tax on payments of cash pursuant to the Offer, a U.S. Holder (as defined below) tendering Class A Ordinary Shares in the Offer must provide the Company or other applicable withholding agent with such U.S. Holder’s correct taxpayer identification number (“</w:t>
      </w:r>
      <w:r>
        <w:rPr>
          <w:rFonts w:ascii="Times New Roman" w:cs="Times New Roman" w:eastAsia="Times New Roman" w:hAnsi="Times New Roman"/>
          <w:sz w:val="18"/>
          <w:szCs w:val="18"/>
          <w:b w:val="1"/>
          <w:bCs w:val="1"/>
          <w:color w:val="auto"/>
        </w:rPr>
        <w:t>TIN</w:t>
      </w:r>
      <w:r>
        <w:rPr>
          <w:rFonts w:ascii="Times New Roman" w:cs="Times New Roman" w:eastAsia="Times New Roman" w:hAnsi="Times New Roman"/>
          <w:sz w:val="18"/>
          <w:szCs w:val="18"/>
          <w:color w:val="auto"/>
        </w:rPr>
        <w:t>”) (i.e., social security number or employer identification number) on a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4" w:lineRule="auto"/>
        <w:rPr>
          <w:sz w:val="20"/>
          <w:szCs w:val="20"/>
          <w:color w:val="auto"/>
        </w:rPr>
      </w:pPr>
      <w:r>
        <w:rPr>
          <w:rFonts w:ascii="Times New Roman" w:cs="Times New Roman" w:eastAsia="Times New Roman" w:hAnsi="Times New Roman"/>
          <w:sz w:val="18"/>
          <w:szCs w:val="18"/>
          <w:color w:val="auto"/>
        </w:rPr>
        <w:t>completed and properly executed IRS Form W-9, a copy of which can be obtained from the IRS website (www.irs.gov), and certify under penalties of perjury that (i) the TIN provided is correct, (ii)  (a) the U.S. Holder is exempt from backup withholding, (b) the U.S. Holder has not been notified by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that such U.S. Holder is subject to backup withholding as a result of a failure to report all interest or dividends, or (c) the IRS has notified the U.S. Holder that such U.S. Holder is no longer subject to backup withholding, and (iii) the U.S. Holder is a U.S. citizen or other U.S. person (as defined in the instructions to IRS Form W-9). If a U.S. Holder does not provide a correct TIN or fails to provide the certifications described above, the payment of cash to such U.S. Holder pursuant to the Offer would be subject to backup withholding at the applicable statutory rate (currently 24%).</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is any securityholder that for U.S. federal income tax purposes is (i) an individual who is a citizen or resident alien of the United States, (ii) a corporation or other entity treated as a corporation created or organized under the laws of the United States, (iii)  an estate the income of which is subject to U.S. federal income tax regardless of its source or (iv) a trust if (a) a court within the United States is able to exercise primary supervision over the administration of the trust, and one or more U.S. persons have the authority to control all substantial decisions of the trust or (b) it has a valid election in effect to be treated as a U.S. person.</w:t>
      </w:r>
    </w:p>
    <w:p>
      <w:pPr>
        <w:spacing w:after="0" w:line="3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Class A Ordinary Shares,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Class A Ordinary Shares, you are urged to consult with your tax advisor regarding the tax consequences of the purchase, ownership and disposition of Class A Ordinary Shares.</w:t>
      </w:r>
    </w:p>
    <w:p>
      <w:pPr>
        <w:spacing w:after="0" w:line="114"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Rather, the amount of the backup withholding can be credited against the U.S. federal income tax liability of the person subject to the backup withholding, provided that the required information is timely filed with the IRS. If backup withholding results in an overpayment of tax, a refund can be obtained upon timely filing an income tax return.</w:t>
      </w:r>
    </w:p>
    <w:p>
      <w:pPr>
        <w:spacing w:after="0" w:line="110"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Class A Ordinary Shares are held in more than one name or are not in the name of the actual owner, consult the instructions to IRS Form W-9 for guidance on which number to report. If a U.S. Holder has not been issued a TIN and has applied for one or intends to apply for one in the near future, such U.S. Holder should consult the instructions to IRS Form W-9 for guidance on how to complete IRS Form W-9.</w:t>
      </w:r>
    </w:p>
    <w:p>
      <w:pPr>
        <w:spacing w:after="0" w:line="110"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Non-U.S. Holders (as defined below) must provide the Company, the Registrar or other applicable withholding agent with a duly completed and properly executed IRS Form W-8BEN, W-8BEN- E or other applicable IRS Form W-8 in order to avoid backup withholding. A copy of the appropriate IRS Form W-8 may be obtained from the IRS website (www.irs.gov).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is a securityholder that is not a U.S. Holder.</w:t>
      </w:r>
    </w:p>
    <w:p>
      <w:pPr>
        <w:spacing w:after="0" w:line="11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Each Holder is urged to consult its tax advisors for further guidance regarding the completion of IRS</w:t>
      </w:r>
    </w:p>
    <w:p>
      <w:pPr>
        <w:spacing w:after="0" w:line="20"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b w:val="1"/>
          <w:bCs w:val="1"/>
          <w:color w:val="auto"/>
        </w:rPr>
        <w:t>Form W-9, IRS Form W-8BEN, IRS Form W-8BEN-E or another version of IRS Form W-8 to claim exemption from backup withholding.</w:t>
      </w:r>
    </w:p>
    <w:p>
      <w:pPr>
        <w:spacing w:after="0" w:line="98" w:lineRule="exact"/>
        <w:rPr>
          <w:sz w:val="20"/>
          <w:szCs w:val="20"/>
          <w:color w:val="auto"/>
        </w:rPr>
      </w:pPr>
    </w:p>
    <w:p>
      <w:pPr>
        <w:ind w:left="1260" w:right="559" w:firstLine="360"/>
        <w:spacing w:after="0" w:line="247" w:lineRule="auto"/>
        <w:tabs>
          <w:tab w:leader="none" w:pos="187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If you have questions or need assistance, you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contact the Information Agent or the Dealer Manager at their respective addresses and telephone numbers set forth on Schedule I to the Offer to Purchase. If you require additional copies of the Offer to Purchase, this Instruction Form, the IRS Form W-9 or other related materials, you should contact the Information Agent. Copies will be furnished promptly at the Company’s expense.</w:t>
      </w:r>
    </w:p>
    <w:p>
      <w:pPr>
        <w:spacing w:after="0" w:line="109" w:lineRule="exact"/>
        <w:rPr>
          <w:rFonts w:ascii="Times New Roman" w:cs="Times New Roman" w:eastAsia="Times New Roman" w:hAnsi="Times New Roman"/>
          <w:sz w:val="18"/>
          <w:szCs w:val="18"/>
          <w:b w:val="1"/>
          <w:bCs w:val="1"/>
          <w:color w:val="auto"/>
        </w:rPr>
      </w:pPr>
    </w:p>
    <w:p>
      <w:pPr>
        <w:ind w:left="1260" w:right="599" w:firstLine="360"/>
        <w:spacing w:after="0" w:line="244" w:lineRule="auto"/>
        <w:tabs>
          <w:tab w:leader="none" w:pos="187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Odd Lots. </w:t>
      </w:r>
      <w:r>
        <w:rPr>
          <w:rFonts w:ascii="Times New Roman" w:cs="Times New Roman" w:eastAsia="Times New Roman" w:hAnsi="Times New Roman"/>
          <w:sz w:val="18"/>
          <w:szCs w:val="18"/>
          <w:color w:val="auto"/>
        </w:rPr>
        <w:t>If the Company is to purchase fewer than all Class A Ordinary Shares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represented by ADSs) validly tendered and not validly withdrawn prior to the Expiration Time, the Class A Ordinary Shares (including Class A Ordinary Shares represented by ADS) purchased first will consist of all Class A Ordinary Shares (including Class A Ordinary Shares represented by ADSs) validly tendered and not validly withdrawn prior to the Expiration Time by any securityholder who held or beneficially owned, a total of fewer than 100 Class A Ordinary Shares (including Class A Ordinary Shares represented by ADSs), and who tenders all such Class A Ordinary Shares (including Class A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720725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Shares represented by ADSs) in accordance with the procedures described in Section 3 of the Offer to Purchase. This preference will not be available to you unless you complete the section captioned “Odd Lots” in this Instruction Form. This preference is not available to partial tenders or registered holders or beneficial owners of 100 or more Class A Ordinary Shares (including Class A Ordinary Shares represented by ADS) in the aggregate, even if these holders have separate accounts representing fewer than 100 Class A Ordinary Shares (including Class A Ordinary Shares represented by ADSs).</w:t>
      </w:r>
    </w:p>
    <w:p>
      <w:pPr>
        <w:spacing w:after="0" w:line="116" w:lineRule="exact"/>
        <w:rPr>
          <w:sz w:val="20"/>
          <w:szCs w:val="20"/>
          <w:color w:val="auto"/>
        </w:rPr>
      </w:pPr>
    </w:p>
    <w:p>
      <w:pPr>
        <w:jc w:val="both"/>
        <w:ind w:left="1260" w:right="559" w:firstLine="360"/>
        <w:spacing w:after="0" w:line="262" w:lineRule="auto"/>
        <w:tabs>
          <w:tab w:leader="none" w:pos="195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 of Purchase in Event of Proration. </w:t>
      </w:r>
      <w:r>
        <w:rPr>
          <w:rFonts w:ascii="Times New Roman" w:cs="Times New Roman" w:eastAsia="Times New Roman" w:hAnsi="Times New Roman"/>
          <w:sz w:val="18"/>
          <w:szCs w:val="18"/>
          <w:color w:val="auto"/>
        </w:rPr>
        <w:t>Securityholders may designate the order in which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are to be purchased in the event of proration. The order of purchase may have an effect on the U.S. federal income tax classification and the amount of any gain or loss on Class A Ordinary Shares purchased. See Section 1 and Section 12 of the Offer to Purchase.</w:t>
      </w:r>
    </w:p>
    <w:p>
      <w:pPr>
        <w:spacing w:after="0" w:line="10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IMPORTANT</w:t>
      </w:r>
      <w:r>
        <w:rPr>
          <w:rFonts w:ascii="Times New Roman" w:cs="Times New Roman" w:eastAsia="Times New Roman" w:hAnsi="Times New Roman"/>
          <w:sz w:val="17"/>
          <w:szCs w:val="17"/>
          <w:b w:val="1"/>
          <w:bCs w:val="1"/>
          <w:color w:val="auto"/>
        </w:rPr>
        <w:t>: THIS INSTRUCTION FORM, TOGETHER WITH ANY REQUIRED SIGNATURE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GUARANTEES, AND ANY OTHER REQUIRED DOCUMENTS, MUST BE RECEIVED BY THE REGISTRAR PRIOR TO THE EXPIRATION TIME, OR THE TENDERING SECURITYHOLDER MUST COMPLY WITH THE PROCEDURES FOR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6010275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 EXHIBIT (a)(1)(H)</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INSTRUCTION FORM FOR WITHDRAWING CLASS A ORDINARY SHARES NOT REPRESENTED BY</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ADSs</w:t>
      </w:r>
    </w:p>
    <w:p>
      <w:pPr>
        <w:spacing w:after="0" w:line="1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20" w:lineRule="exact"/>
        <w:rPr>
          <w:sz w:val="20"/>
          <w:szCs w:val="20"/>
          <w:color w:val="auto"/>
        </w:rPr>
      </w:pPr>
    </w:p>
    <w:p>
      <w:pPr>
        <w:jc w:val="center"/>
        <w:ind w:left="1800" w:right="200"/>
        <w:spacing w:after="0" w:line="246" w:lineRule="auto"/>
        <w:rPr>
          <w:sz w:val="20"/>
          <w:szCs w:val="20"/>
          <w:color w:val="auto"/>
        </w:rPr>
      </w:pPr>
      <w:r>
        <w:rPr>
          <w:rFonts w:ascii="Times New Roman" w:cs="Times New Roman" w:eastAsia="Times New Roman" w:hAnsi="Times New Roman"/>
          <w:sz w:val="18"/>
          <w:szCs w:val="18"/>
          <w:b w:val="1"/>
          <w:bCs w:val="1"/>
          <w:color w:val="auto"/>
        </w:rPr>
        <w:t>for Tender of Class A Ordinary Shares not represented by American Depositary Shares (“ADSs”) Pursuant to the Offer to Purchase, Dated September 3, 2025, as amended by the Supplemental Notice, dated September 12, 2025</w:t>
      </w:r>
    </w:p>
    <w:p>
      <w:pPr>
        <w:spacing w:after="0" w:line="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1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Up to 225,000,000 of its Class A Ordinary Shares (including Class A Ordinary Shares represented by ADSs)</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At a Purchase Price of $3.00/45 per Class A Ordinary Share (or $3.00 per ADS)</w:t>
      </w:r>
    </w:p>
    <w:p>
      <w:pPr>
        <w:spacing w:after="0" w:line="8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OFFER, PRORATION PERIOD AND WITHDRAWAL RIGHTS WILL EXPIRE AT 12:00</w:t>
      </w:r>
    </w:p>
    <w:p>
      <w:pPr>
        <w:spacing w:after="0" w:line="31" w:lineRule="exact"/>
        <w:rPr>
          <w:sz w:val="20"/>
          <w:szCs w:val="20"/>
          <w:color w:val="auto"/>
        </w:rPr>
      </w:pPr>
    </w:p>
    <w:p>
      <w:pPr>
        <w:jc w:val="center"/>
        <w:ind w:left="1780" w:right="140"/>
        <w:spacing w:after="0" w:line="255" w:lineRule="auto"/>
        <w:rPr>
          <w:sz w:val="20"/>
          <w:szCs w:val="20"/>
          <w:color w:val="auto"/>
        </w:rPr>
      </w:pPr>
      <w:r>
        <w:rPr>
          <w:rFonts w:ascii="Times New Roman" w:cs="Times New Roman" w:eastAsia="Times New Roman" w:hAnsi="Times New Roman"/>
          <w:sz w:val="18"/>
          <w:szCs w:val="18"/>
          <w:b w:val="1"/>
          <w:bCs w:val="1"/>
          <w:color w:val="auto"/>
        </w:rPr>
        <w:t>MIDNIGHT, NEW YORK CITY TIME, AT THE END OF THE DAY ON SEPTEMBER 30, 2025, UNLESS THE OFFER IS EXTENDED OR TERMINATED (SUCH DATE AND TIME, AS THEY MAY BE EXTENDED,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hereby withdraws the tender of his, her or its Class A ordinary shares, par value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 Moatable,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Moatable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not represented by ADSs pursuant to the offer of the Company to purchase up to 225,000,000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its Class A Ordinary Shares (including Class A Ordinary Shares represented by ADSs) at a price of $3.00/45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 Class A Ordinary Share (or $3.00 per ADS)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net to the seller in cash, less a cash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distribution fee of $0.05 per ADS accepted for purchase in the Offer (as defined below) less any applicable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withholding taxes and without interest, upon the terms and conditions described in the Offer to Purchase,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September 3, 2025 (together with any amendments or supplements thereto,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related Instruction Form (together with any amendments or supplements thereto, the “</w:t>
      </w:r>
      <w:r>
        <w:rPr>
          <w:rFonts w:ascii="Times New Roman" w:cs="Times New Roman" w:eastAsia="Times New Roman" w:hAnsi="Times New Roman"/>
          <w:sz w:val="18"/>
          <w:szCs w:val="18"/>
          <w:b w:val="1"/>
          <w:bCs w:val="1"/>
          <w:i w:val="1"/>
          <w:iCs w:val="1"/>
          <w:color w:val="auto"/>
        </w:rPr>
        <w:t>Class A Instruction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Form</w:t>
      </w:r>
      <w:r>
        <w:rPr>
          <w:rFonts w:ascii="Times New Roman" w:cs="Times New Roman" w:eastAsia="Times New Roman" w:hAnsi="Times New Roman"/>
          <w:sz w:val="18"/>
          <w:szCs w:val="18"/>
          <w:color w:val="auto"/>
        </w:rPr>
        <w:t>”) and in other related materials as may be amended or supplemented from time to time (collectively,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the Offer to Purchase and the Class A Instruction Form,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you have questions or need assistance, you should contact Georgeson LLC, the information agent for the offer (the “</w:t>
      </w:r>
      <w:r>
        <w:rPr>
          <w:rFonts w:ascii="Times New Roman" w:cs="Times New Roman" w:eastAsia="Times New Roman" w:hAnsi="Times New Roman"/>
          <w:sz w:val="18"/>
          <w:szCs w:val="18"/>
          <w:b w:val="1"/>
          <w:bCs w:val="1"/>
          <w:i w:val="1"/>
          <w:iCs w:val="1"/>
          <w:color w:val="auto"/>
        </w:rPr>
        <w:t>Information Agent</w:t>
      </w:r>
      <w:r>
        <w:rPr>
          <w:rFonts w:ascii="Times New Roman" w:cs="Times New Roman" w:eastAsia="Times New Roman" w:hAnsi="Times New Roman"/>
          <w:sz w:val="18"/>
          <w:szCs w:val="18"/>
          <w:color w:val="auto"/>
        </w:rPr>
        <w:t>”) at its address and telephone number set forth on Schedule I to the Offer to Purchase. If you require additional copies of the Offer to Purchase, the Class A Instruction Form, or other related materials, you should contact the Information Agent. Copies will be furnished promptly at the Company’s expense.</w:t>
      </w:r>
    </w:p>
    <w:p>
      <w:pPr>
        <w:spacing w:after="0" w:line="11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All withdrawals of Class A Ordinary Shares not represented by ADSs previously tendered in the Offer must comply with the procedures set forth in the Offer to Purchase.</w:t>
      </w:r>
    </w:p>
    <w:p>
      <w:pPr>
        <w:spacing w:after="0" w:line="9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undersigned has identified in the table below the Class A Ordinary Shares not represented by ADSs that are being withdrawn from the Offer. If a stockholder has used more than one the Class A Instruction Form or has otherwise tendered Class A Ordinary Shares not represented by ADSs in more than one group of Class A Ordinary Shares, the stockholder may withdraw Class A Ordinary Shares not represented by ADSs using either separate written notices of withdrawal or a combined written notice of withdrawal, so long as the information specified below is included.</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CLASS A ORDINARY SHARES NOT REPRESENTED BY ADSs TO BE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WITHDRAWN</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​Number of Class A Ordinary Shares not represented ​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by ADSs to be withdrawn:</w:t>
            </w:r>
          </w:p>
        </w:tc>
        <w:tc>
          <w:tcPr>
            <w:tcW w:w="26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14"/>
                <w:szCs w:val="14"/>
                <w:color w:val="auto"/>
              </w:rPr>
            </w:pPr>
          </w:p>
        </w:tc>
        <w:tc>
          <w:tcPr>
            <w:tcW w:w="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960" w:type="dxa"/>
            <w:vAlign w:val="bottom"/>
          </w:tcPr>
          <w:p>
            <w:pPr>
              <w:spacing w:after="0"/>
              <w:rPr>
                <w:sz w:val="20"/>
                <w:szCs w:val="20"/>
                <w:color w:val="auto"/>
              </w:rPr>
            </w:pPr>
            <w:r>
              <w:rPr>
                <w:rFonts w:ascii="Times New Roman" w:cs="Times New Roman" w:eastAsia="Times New Roman" w:hAnsi="Times New Roman"/>
                <w:sz w:val="3"/>
                <w:szCs w:val="3"/>
                <w:color w:val="auto"/>
              </w:rPr>
              <w:t>Name of Tendering Stockholder:</w:t>
            </w:r>
          </w:p>
        </w:tc>
        <w:tc>
          <w:tcPr>
            <w:tcW w:w="26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3"/>
        </w:trPr>
        <w:tc>
          <w:tcPr>
            <w:tcW w:w="3960" w:type="dxa"/>
            <w:vAlign w:val="bottom"/>
          </w:tcPr>
          <w:p>
            <w:pPr>
              <w:spacing w:after="0" w:line="83" w:lineRule="exact"/>
              <w:rPr>
                <w:sz w:val="20"/>
                <w:szCs w:val="20"/>
                <w:color w:val="auto"/>
              </w:rPr>
            </w:pPr>
            <w:r>
              <w:rPr>
                <w:rFonts w:ascii="Times New Roman" w:cs="Times New Roman" w:eastAsia="Times New Roman" w:hAnsi="Times New Roman"/>
                <w:sz w:val="9"/>
                <w:szCs w:val="9"/>
                <w:color w:val="auto"/>
              </w:rPr>
              <w:t>Name of Registered Holder of the Class A Ordinary</w:t>
            </w:r>
          </w:p>
        </w:tc>
        <w:tc>
          <w:tcPr>
            <w:tcW w:w="26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Shares not represented by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-12065</wp:posOffset>
            </wp:positionV>
            <wp:extent cx="25285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I understand that if I sign, date and return this Notice of Withdrawal but do not provide Maples Fund Services (Cayman) Limited (the “Registrar”) and Moatable with direction, Moatable will treat this action as an instruction by me not to tender the Class A Ordinary Shares not represented by ADSs held by me.</w:t>
      </w:r>
    </w:p>
    <w:p>
      <w:pPr>
        <w:spacing w:after="0" w:line="3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-16510</wp:posOffset>
            </wp:positionV>
            <wp:extent cx="2743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-7620</wp:posOffset>
            </wp:positionV>
            <wp:extent cx="25800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Taxpayer Identification or</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Social Security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-7620</wp:posOffset>
            </wp:positionV>
            <wp:extent cx="21170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Address(es): 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-16510</wp:posOffset>
            </wp:positionV>
            <wp:extent cx="24688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Daytime Telephone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-7620</wp:posOffset>
            </wp:positionV>
            <wp:extent cx="19888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-7620</wp:posOffset>
            </wp:positionV>
            <wp:extent cx="2802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3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Company will determine all questions as to the form and validity, including the time of receipt, of any notice of withdrawal, in its sole discretion, which determination will be final and binding on all parties absent a finding to the contrary by a court of competent jurisdiction. Neither the Company nor the Registrar, the Information Agent or any other person will be obligated to give notice of any defects or irregularities in any notice of withdrawal, nor will any of the foregoing incur liability for failure to give any such notification.</w:t>
      </w:r>
    </w:p>
    <w:p>
      <w:pPr>
        <w:spacing w:after="0" w:line="33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Withdrawals may not be rescinded, and any Class A Ordinary Shares properly withdrawn will be deemed not properly tendered for purposes of the Offer. However, withdrawn Class A Ordinary Shares may be re-tendered before the Expiration Time by again following one of the procedures described in Section 3 of the Offer to Purchase.</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Return this form to: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Maples Fund Services (Cayman) Limited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 Maples Fund Servies (Asia) Limited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16 Floor, Central Plaza, 18 Harbour Road, Wanchai, Hong Kong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Investor Services Department (MCCS)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e-mail address: mfs-mccs@maples.com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 EXHIBIT (a)(1)(I)</w:t>
      </w:r>
    </w:p>
    <w:p>
      <w:pPr>
        <w:spacing w:after="0" w:line="9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Supplemental Notice to Holders of</w:t>
      </w:r>
    </w:p>
    <w:p>
      <w:pPr>
        <w:spacing w:after="0" w:line="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Class A Ordinary Shares (including Class A Ordinary Shares Represented by American</w:t>
      </w:r>
    </w:p>
    <w:p>
      <w:pPr>
        <w:ind w:left="4020"/>
        <w:spacing w:after="0"/>
        <w:rPr>
          <w:sz w:val="20"/>
          <w:szCs w:val="20"/>
          <w:color w:val="auto"/>
        </w:rPr>
      </w:pPr>
      <w:r>
        <w:rPr>
          <w:rFonts w:ascii="Times New Roman" w:cs="Times New Roman" w:eastAsia="Times New Roman" w:hAnsi="Times New Roman"/>
          <w:sz w:val="18"/>
          <w:szCs w:val="18"/>
          <w:b w:val="1"/>
          <w:bCs w:val="1"/>
          <w:color w:val="auto"/>
        </w:rPr>
        <w:t>Depositary Shares) of Moatable, Inc.</w:t>
      </w:r>
    </w:p>
    <w:p>
      <w:pPr>
        <w:spacing w:after="0" w:line="18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Regarding the Offer to Purchase for Cash by</w:t>
      </w:r>
    </w:p>
    <w:p>
      <w:pPr>
        <w:spacing w:after="0" w:line="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Moatable, Inc.</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Of Up to 225,000,000 Class A Ordinary Shares (including Class A Ordinary Shares Represented by ADSs)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At a Purchase Price of $3.00/45 per Class A Ordinary Share (or $3.00 per ADS)</w:t>
      </w:r>
    </w:p>
    <w:p>
      <w:pPr>
        <w:spacing w:after="0" w:line="120" w:lineRule="exact"/>
        <w:rPr>
          <w:sz w:val="20"/>
          <w:szCs w:val="20"/>
          <w:color w:val="auto"/>
        </w:rPr>
      </w:pPr>
    </w:p>
    <w:p>
      <w:pPr>
        <w:ind w:left="1260" w:right="12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To the holders of Class A Ordinary Shares of Moatable, Inc. (including Class A Ordinary Shares represented by American Depositary Shares):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September 3, 2025, Moatable, Inc., an exempted company incorporated under the laws of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Cayman Islands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Moatable,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initiated an offer to purchase up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5,000,000 American Depositary Shares (the “</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of the Company, each representing 45 Class 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ordinary shares, par value $0.001 per share (“</w:t>
      </w:r>
      <w:r>
        <w:rPr>
          <w:rFonts w:ascii="Times New Roman" w:cs="Times New Roman" w:eastAsia="Times New Roman" w:hAnsi="Times New Roman"/>
          <w:sz w:val="18"/>
          <w:szCs w:val="18"/>
          <w:i w:val="1"/>
          <w:iCs w:val="1"/>
          <w:color w:val="auto"/>
        </w:rPr>
        <w:t>Class A Ordinary Shares</w:t>
      </w:r>
      <w:r>
        <w:rPr>
          <w:rFonts w:ascii="Times New Roman" w:cs="Times New Roman" w:eastAsia="Times New Roman" w:hAnsi="Times New Roman"/>
          <w:sz w:val="18"/>
          <w:szCs w:val="18"/>
          <w:color w:val="auto"/>
        </w:rPr>
        <w:t>”), for purchase by us at a price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$3.00 per ADS net to the seller in cash, less a cash distribution fee of $0.05 per ADS accepted for purchase</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the Offer (as defined below) that will be paid to Citibank, N.A., the Company’s ADS depositary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Depositary</w:t>
      </w:r>
      <w:r>
        <w:rPr>
          <w:rFonts w:ascii="Times New Roman" w:cs="Times New Roman" w:eastAsia="Times New Roman" w:hAnsi="Times New Roman"/>
          <w:sz w:val="18"/>
          <w:szCs w:val="18"/>
          <w:color w:val="auto"/>
        </w:rPr>
        <w:t>”), less any applicable withholding taxes, and without interest, upon the terms and subject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conditions described in an Offer to Purchase dated September 3, 2025 (the “</w:t>
      </w:r>
      <w:r>
        <w:rPr>
          <w:rFonts w:ascii="Times New Roman" w:cs="Times New Roman" w:eastAsia="Times New Roman" w:hAnsi="Times New Roman"/>
          <w:sz w:val="18"/>
          <w:szCs w:val="18"/>
          <w:i w:val="1"/>
          <w:iCs w:val="1"/>
          <w:color w:val="auto"/>
        </w:rPr>
        <w:t>Initial Offer to</w:t>
      </w:r>
    </w:p>
    <w:p>
      <w:pPr>
        <w:ind w:left="1260"/>
        <w:spacing w:after="0" w:line="234" w:lineRule="auto"/>
        <w:rPr>
          <w:sz w:val="20"/>
          <w:szCs w:val="20"/>
          <w:color w:val="auto"/>
        </w:rPr>
      </w:pPr>
      <w:r>
        <w:rPr>
          <w:rFonts w:ascii="Times New Roman" w:cs="Times New Roman" w:eastAsia="Times New Roman" w:hAnsi="Times New Roman"/>
          <w:sz w:val="18"/>
          <w:szCs w:val="18"/>
          <w:i w:val="1"/>
          <w:iCs w:val="1"/>
          <w:color w:val="auto"/>
        </w:rPr>
        <w:t>Purchase</w:t>
      </w:r>
      <w:r>
        <w:rPr>
          <w:rFonts w:ascii="Times New Roman" w:cs="Times New Roman" w:eastAsia="Times New Roman" w:hAnsi="Times New Roman"/>
          <w:sz w:val="18"/>
          <w:szCs w:val="18"/>
          <w:color w:val="auto"/>
        </w:rPr>
        <w:t>”), in the related Letter of Transmittal for holders of ADSs (together with any amendments 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supplements thereto, the “</w:t>
      </w:r>
      <w:r>
        <w:rPr>
          <w:rFonts w:ascii="Times New Roman" w:cs="Times New Roman" w:eastAsia="Times New Roman" w:hAnsi="Times New Roman"/>
          <w:sz w:val="18"/>
          <w:szCs w:val="18"/>
          <w:i w:val="1"/>
          <w:iCs w:val="1"/>
          <w:color w:val="auto"/>
        </w:rPr>
        <w:t>ADS Letter of Transmittal</w:t>
      </w:r>
      <w:r>
        <w:rPr>
          <w:rFonts w:ascii="Times New Roman" w:cs="Times New Roman" w:eastAsia="Times New Roman" w:hAnsi="Times New Roman"/>
          <w:sz w:val="18"/>
          <w:szCs w:val="18"/>
          <w:color w:val="auto"/>
        </w:rPr>
        <w:t>”) and in other related materials as may be amended or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supplemented from time to time.</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letter supplements the Company’s Initial Offer to Purchase as follows:</w:t>
      </w:r>
    </w:p>
    <w:p>
      <w:pPr>
        <w:spacing w:after="0" w:line="102" w:lineRule="exact"/>
        <w:rPr>
          <w:sz w:val="20"/>
          <w:szCs w:val="20"/>
          <w:color w:val="auto"/>
        </w:rPr>
      </w:pPr>
    </w:p>
    <w:p>
      <w:pPr>
        <w:ind w:left="1800" w:right="419" w:hanging="180"/>
        <w:spacing w:after="0" w:line="253"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tender your Class A Ordinary Shares if they are not represented by ADSs.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is amended to become an offer to purchase up to 225,000,00 Class A Ordinary Shares (including Class A Ordinary Shares represented by ADSs) at a price of $3.00/45 per Class A Ordinary Share (or $3.00 per ADS)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net to the seller in cash, less any applicable withholding taxes, and, in the case of ADSs, less a cash distribution fee of $0.05 per ADS accepted for purchase in the Offer that will be paid to Citibank, N.A., the Company’s ADS Depositary, and without interest. An updated Letter of Transmittal for Class A Ordinary Shares represented by ADSs (as may be amended or supplemented, the “ADS Letter of Transmittal) and Instruction Form for Class A Ordinary Shares not represented by ADSs (as may be amended or supplemented, the “Class A Instruction Form” and together with the ADS Letter of Transmittal, the “Letters of Transmittal”) have been provided as annexes to this letter;</w:t>
      </w:r>
    </w:p>
    <w:p>
      <w:pPr>
        <w:spacing w:after="0" w:line="304"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odd lot priority is revised to apply to holders of less than 100 Class A Ordinary Shares (including Class A Ordinary Shares represented by ADSs), rather than holders of less than 100 ADSs;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Class A Ordinary Shares will not be required to obtain the Company’s consent to deposit Class A Ordinary Shares in exchange for ADSs or pay for any issuance fees payable to the ADS Depositary, in each case for the issuance of ADSs in exchange for Class A Ordinary Shares;</w:t>
      </w:r>
    </w:p>
    <w:p>
      <w:pPr>
        <w:spacing w:after="0" w:line="54"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Condition (as defined in the Initial Offer to Purchase) is eliminated as a condition to the Offer and a summary of the material terms of the Company’s new credit facility is provided;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outstanding and related disclosures are updated; and</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discloses the factors it will consider when determining whether to voluntarily suspend its reporting obligations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260" w:right="8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The Offer is not conditioned on any minimum number of Class A Ordinary Shares (including Class A Ordinary Shares represented by ADSs) being tendered.</w:t>
      </w:r>
    </w:p>
    <w:p>
      <w:pPr>
        <w:spacing w:after="0" w:line="86" w:lineRule="exact"/>
        <w:rPr>
          <w:sz w:val="20"/>
          <w:szCs w:val="20"/>
          <w:color w:val="auto"/>
        </w:rPr>
      </w:pPr>
    </w:p>
    <w:p>
      <w:pPr>
        <w:ind w:left="1260" w:right="5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Offer will expire at 12:00 midnight, New York City time, at the end of the day on September 30, 2025, unless the Offer is extended or terminated by us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b w:val="1"/>
          <w:bCs w:val="1"/>
          <w:color w:val="auto"/>
        </w:rPr>
        <w:t>”).</w:t>
      </w:r>
    </w:p>
    <w:p>
      <w:pPr>
        <w:spacing w:after="0" w:line="74" w:lineRule="exact"/>
        <w:rPr>
          <w:sz w:val="20"/>
          <w:szCs w:val="20"/>
          <w:color w:val="auto"/>
        </w:rPr>
      </w:pPr>
    </w:p>
    <w:p>
      <w:pPr>
        <w:ind w:left="1260" w:right="519" w:firstLine="360"/>
        <w:spacing w:after="0" w:line="301" w:lineRule="auto"/>
        <w:rPr>
          <w:sz w:val="20"/>
          <w:szCs w:val="20"/>
          <w:color w:val="auto"/>
        </w:rPr>
      </w:pPr>
      <w:r>
        <w:rPr>
          <w:rFonts w:ascii="Times New Roman" w:cs="Times New Roman" w:eastAsia="Times New Roman" w:hAnsi="Times New Roman"/>
          <w:sz w:val="17"/>
          <w:szCs w:val="17"/>
          <w:b w:val="1"/>
          <w:bCs w:val="1"/>
          <w:color w:val="auto"/>
        </w:rPr>
        <w:t>Our board of directors has authorized us to make the Offer. However, none of the Company, the members of our board of directors, our executive officers, Georgeson LLC, the information agent for the Offer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Information Agent</w:t>
      </w:r>
      <w:r>
        <w:rPr>
          <w:rFonts w:ascii="Times New Roman" w:cs="Times New Roman" w:eastAsia="Times New Roman" w:hAnsi="Times New Roman"/>
          <w:sz w:val="17"/>
          <w:szCs w:val="17"/>
          <w:b w:val="1"/>
          <w:bCs w:val="1"/>
          <w:color w:val="auto"/>
        </w:rPr>
        <w:t>”), Citibank, N.A., the tender agent for the Offer (the “</w:t>
      </w:r>
      <w:r>
        <w:rPr>
          <w:rFonts w:ascii="Times New Roman" w:cs="Times New Roman" w:eastAsia="Times New Roman" w:hAnsi="Times New Roman"/>
          <w:sz w:val="17"/>
          <w:szCs w:val="17"/>
          <w:b w:val="1"/>
          <w:bCs w:val="1"/>
          <w:i w:val="1"/>
          <w:iCs w:val="1"/>
          <w:color w:val="auto"/>
        </w:rPr>
        <w:t>Tender Agent</w:t>
      </w:r>
      <w:r>
        <w:rPr>
          <w:rFonts w:ascii="Times New Roman" w:cs="Times New Roman" w:eastAsia="Times New Roman" w:hAnsi="Times New Roman"/>
          <w:sz w:val="17"/>
          <w:szCs w:val="17"/>
          <w:b w:val="1"/>
          <w:bCs w:val="1"/>
          <w:color w:val="auto"/>
        </w:rPr>
        <w:t>”), the ADS Depositary, or Needham &amp; Company, LLC, the dealer manager for the offer (the “</w:t>
      </w:r>
      <w:r>
        <w:rPr>
          <w:rFonts w:ascii="Times New Roman" w:cs="Times New Roman" w:eastAsia="Times New Roman" w:hAnsi="Times New Roman"/>
          <w:sz w:val="17"/>
          <w:szCs w:val="17"/>
          <w:b w:val="1"/>
          <w:bCs w:val="1"/>
          <w:i w:val="1"/>
          <w:iCs w:val="1"/>
          <w:color w:val="auto"/>
        </w:rPr>
        <w:t>Dealer Manager</w:t>
      </w:r>
      <w:r>
        <w:rPr>
          <w:rFonts w:ascii="Times New Roman" w:cs="Times New Roman" w:eastAsia="Times New Roman" w:hAnsi="Times New Roman"/>
          <w:sz w:val="17"/>
          <w:szCs w:val="17"/>
          <w:b w:val="1"/>
          <w:bCs w:val="1"/>
          <w:color w:val="auto"/>
        </w:rPr>
        <w:t>”), makes any recommendation to you as to whether you should tender or refrain from tendering your Class A Ordinary Shares (including Class A Ordinary Shares represented by ADSs). We cannot predict how our Class A Ordinary Shares or ADSs will trade after the Expiration Time, and it is possible that our Class A Ordinary Share or ADS price will trade above the Purchase Price after the Expiration Time. You must make your own decision as to whether to tender your Class A Ordinary Shares (including Class A Ordinary Shares represented by ADSs) and, if so, how many Class A Ordinary Shares (including Class A Ordinary Shares represented by ADSs) to tender. We recommend that you read carefully the information in the Initial Offer to Purchase, this letter, the applicable Letter of Transmittal and the other related materials that constitute part of the Offer, including our reasons for making the Offer, before taking any action with respect to the Offer. In addition, you should discuss whether to tender your Class A Ordinary Shares (including Class A Ordinary Shares represented by ADSs) with your broker or other financial tax advisors.</w:t>
      </w:r>
    </w:p>
    <w:p>
      <w:pPr>
        <w:spacing w:after="0" w:line="107"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Except as specifically provided herein, the information contained in the Initial Offer to Purchase remains unchanged. You should read this letter together with the Tender Offer Statement on Schedule TO originally filed by the Company on September 3, 2025 (as amended or supplement from time to time, the “</w:t>
      </w:r>
      <w:r>
        <w:rPr>
          <w:rFonts w:ascii="Times New Roman" w:cs="Times New Roman" w:eastAsia="Times New Roman" w:hAnsi="Times New Roman"/>
          <w:sz w:val="18"/>
          <w:szCs w:val="18"/>
          <w:i w:val="1"/>
          <w:iCs w:val="1"/>
          <w:color w:val="auto"/>
        </w:rPr>
        <w:t>Schedule TO</w:t>
      </w:r>
      <w:r>
        <w:rPr>
          <w:rFonts w:ascii="Times New Roman" w:cs="Times New Roman" w:eastAsia="Times New Roman" w:hAnsi="Times New Roman"/>
          <w:sz w:val="18"/>
          <w:szCs w:val="18"/>
          <w:color w:val="auto"/>
        </w:rPr>
        <w:t>”) and all exhibits attached thereto.</w:t>
      </w:r>
    </w:p>
    <w:p>
      <w:pPr>
        <w:spacing w:after="0" w:line="189" w:lineRule="exact"/>
        <w:rPr>
          <w:sz w:val="20"/>
          <w:szCs w:val="20"/>
          <w:color w:val="auto"/>
        </w:rPr>
      </w:pPr>
    </w:p>
    <w:p>
      <w:pPr>
        <w:ind w:left="1260" w:right="579"/>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Offer to Purchase up to 225,000,000 Class A Ordinary Shares at a Price of $3.00/45 per Class A Ordinary Share (or $3.00 per ADS) and Updated Letters of Transmittal</w:t>
      </w:r>
    </w:p>
    <w:p>
      <w:pPr>
        <w:spacing w:after="0" w:line="93"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This letter hereby notifies you that the Company is amending its offer set forth in the Initial Offer to Purchase to constitute an offer to purchase 225,000,000 Class A Ordinary Shares (including Class A Ordinary Shares represented by ADSs), rather than an offer to purchase 5,000,000 ADSs. You may tender Class A Ordinary Shares that are not represented by ADSs. As revised, the Company is offering to purchase up to 225,000,000 Class A Ordinary Shares (including Class A Ordinary Shares represented by ADSs), at a price of $ 3.00/45 per Class A Ordinary Share (or $3.00 per ADS)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net to the seller in cash, less any applicable withholding taxes, and, in the case of ADSs, less a cash distribution fee of $0.05 per ADS accepted for purchase in the Offer that will be paid to Citibank, N.A., the Company’s ADS Depositary, and without interest, upon the terms and subject to the conditions described in the Offer to Purchase, dated September 3, 2025 (together with any amendments or supplements thereto, including the supplemental information provided in this letter, the “Offer to Purchase”), the related ADS Letter of Transmittal and Class A Instruction Form and other related materials as may be amended or supplemented from time to time, including by this Supplemental Notice, dated September 12, 2025 (collectively, with the Offer to Purchase and the Letters of Transmittal, the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The Purchase Price per ADS has not changed from the Company’s Initial Offer to Purchase.</w:t>
      </w:r>
    </w:p>
    <w:p>
      <w:pPr>
        <w:spacing w:after="0" w:line="330"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you want to tender all or any portion of your Class A Ordinary Shares not represented by ADSs, you must do one of the following before the Offer expires at 12:00 midnight, New York City time, at the end of the day on September 30, 2025 (unless the Offer is extended):</w:t>
      </w:r>
    </w:p>
    <w:p>
      <w:pPr>
        <w:spacing w:after="0" w:line="61" w:lineRule="exact"/>
        <w:rPr>
          <w:sz w:val="20"/>
          <w:szCs w:val="20"/>
          <w:color w:val="auto"/>
        </w:rPr>
      </w:pPr>
    </w:p>
    <w:p>
      <w:pPr>
        <w:ind w:left="1800" w:right="459" w:hanging="180"/>
        <w:spacing w:after="0" w:line="26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complete and submit the Class A Instruction Form with respect to Class A Ordinary Shares to Maples Fund Services (Cayman) Limited, the Company’s registrar (the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if your Class A Ordinary Shares are in certificated form, include such certificate(s) with the Class A Instruction Form; or</w:t>
      </w:r>
    </w:p>
    <w:p>
      <w:pPr>
        <w:spacing w:after="0" w:line="291"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must deposit such Class A Ordinary Shares with the ADS Depositary, subject to the terms and conditions set forth in the Deposit Agreement, in exchange for the issuance, by the ADS Depositary, of the corresponding ADSs and complete and timely submit the Letter of Transmittal with respect to ADSs. The Company has agreed to pay any issuance fee payable to the ADS Depositary for the issuance of ADSs in connection with the Offer. </w:t>
      </w:r>
      <w:r>
        <w:rPr>
          <w:rFonts w:ascii="Times New Roman" w:cs="Times New Roman" w:eastAsia="Times New Roman" w:hAnsi="Times New Roman"/>
          <w:sz w:val="18"/>
          <w:szCs w:val="18"/>
          <w:b w:val="1"/>
          <w:bCs w:val="1"/>
          <w:i w:val="1"/>
          <w:iCs w:val="1"/>
          <w:color w:val="auto"/>
        </w:rPr>
        <w:t>Please provide yourself sufficient time to complete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process to deposit your Class A Ordinary Shares with Citibank, N.A., as ADS Depositary, in exchange for ADSs. Please be advised that the ADS Depositary will close its books to ADS issuances five (5) business days prior to the Expiration Time. Accordingly, if you are a holder of Class A Ordinary Shares and you wish to receive corresponding ADSs to participate in the Offer, you must deposit your Class A Ordinary Shares with the ADS Depositary at least five (5) business days prior to Expiration Time.</w:t>
      </w: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If you are a holder of vested options, you may exercise your vested options and receive Class A Ordinary Shares, which you may then tender as described above for Class A Ordinary Shares. You must exercise your options sufficiently in advance of the Expiration Time to receive your Class A Ordinary Shares in order to tender. An exercise of an option cannot be revoked even if Class A Ordinary Shares received upon the exercise thereof and tendered in the Offer are not purchased in the Offer for any reason.</w:t>
      </w:r>
    </w:p>
    <w:p>
      <w:pPr>
        <w:spacing w:after="0" w:line="110"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As previously disclosed in the Initial Offer to Purchase, if you want to tender all or any portion of your ADSs, you must do one of the following before the Offer expires at 12:00 midnight, New York City time, at the end of the day on September 30, 2025 (unless the Offer is extended):</w:t>
      </w:r>
    </w:p>
    <w:p>
      <w:pPr>
        <w:spacing w:after="0" w:line="69" w:lineRule="exact"/>
        <w:rPr>
          <w:sz w:val="20"/>
          <w:szCs w:val="20"/>
          <w:color w:val="auto"/>
        </w:rPr>
      </w:pPr>
    </w:p>
    <w:p>
      <w:pPr>
        <w:ind w:left="1800" w:right="459" w:hanging="180"/>
        <w:spacing w:after="0" w:line="255"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ADSs are registered in the name of a broker, dealer, commercial bank, trust company or other nominee, contact the nominee and request that the nominee tender your ADSs for you. Beneficial owners should be aware that their broker, dealer, commercial bank, trust company or other nominee may establish its own earlier deadlines for participation in the Offer. Accordingly, beneficial owners wishing to participate in the Offer should contact their broker, dealer, commercial bank, trust company or other nominee as soon as possible in order to determine the times by which such owner must take action in order to participate in the Offer;</w:t>
      </w:r>
    </w:p>
    <w:p>
      <w:pPr>
        <w:spacing w:after="0" w:line="80" w:lineRule="exact"/>
        <w:rPr>
          <w:rFonts w:ascii="Times New Roman" w:cs="Times New Roman" w:eastAsia="Times New Roman" w:hAnsi="Times New Roman"/>
          <w:sz w:val="18"/>
          <w:szCs w:val="18"/>
          <w:color w:val="auto"/>
        </w:rPr>
      </w:pPr>
    </w:p>
    <w:p>
      <w:pPr>
        <w:ind w:left="1800" w:right="699" w:hanging="180"/>
        <w:spacing w:after="0" w:line="258"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ADSs in book-entry form as a registered holder, complete and sign a Letter of Transmittal according to its instructions, and deliver it, together with any required signature guarantees and any other documents required by the Letter of Transmittal, to Citibank, N.A., the Tender Agent for the Offer, at one of the addresses shown on the back cover of the Initial Offer to Purchase and also shown below; or</w:t>
      </w:r>
    </w:p>
    <w:p>
      <w:pPr>
        <w:spacing w:after="0" w:line="73" w:lineRule="exact"/>
        <w:rPr>
          <w:rFonts w:ascii="Times New Roman" w:cs="Times New Roman" w:eastAsia="Times New Roman" w:hAnsi="Times New Roman"/>
          <w:sz w:val="18"/>
          <w:szCs w:val="18"/>
          <w:color w:val="auto"/>
        </w:rPr>
      </w:pPr>
    </w:p>
    <w:p>
      <w:pPr>
        <w:ind w:left="1800" w:right="499" w:hanging="180"/>
        <w:spacing w:after="0" w:line="267"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institution participating in The Depository Trust Company, which we call the “</w:t>
      </w:r>
      <w:r>
        <w:rPr>
          <w:rFonts w:ascii="Times New Roman" w:cs="Times New Roman" w:eastAsia="Times New Roman" w:hAnsi="Times New Roman"/>
          <w:sz w:val="18"/>
          <w:szCs w:val="18"/>
          <w:i w:val="1"/>
          <w:iCs w:val="1"/>
          <w:color w:val="auto"/>
        </w:rPr>
        <w:t>Book-Entry Transfer Facility</w:t>
      </w:r>
      <w:r>
        <w:rPr>
          <w:rFonts w:ascii="Times New Roman" w:cs="Times New Roman" w:eastAsia="Times New Roman" w:hAnsi="Times New Roman"/>
          <w:sz w:val="18"/>
          <w:szCs w:val="18"/>
          <w:color w:val="auto"/>
        </w:rPr>
        <w:t>” in this Offer to Purchase, tender your ADSs according to the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book-entry transfer described in Section 3 in the Initial Offer to Purchase;</w:t>
      </w:r>
    </w:p>
    <w:p>
      <w:pPr>
        <w:spacing w:after="0" w:line="10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ADS Letter of Transmittal is attached to this letter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Class A Instruction Form is attached to this letter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Offer is for Class A Ordinary Shares (including Class A Ordinary Shares represented by ADSs). Tender of any other securities, including vested options without following the procedures noted above, will not be accepted and returned to the tendering securityholders at our expense promptly after the expiration or termination of the Offer.</w:t>
      </w:r>
    </w:p>
    <w:p>
      <w:pPr>
        <w:spacing w:after="0" w:line="9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There is no guaranteed delivery procedure for tendering of Class A Ordinary Shares (including Class A Ordinary Shares represented by ADSs) into the Offer, and you may not tender Class A Ordinary Shares (including Class A Ordinary Shares represented by ADSs) subject to the condition that a specified minimum number of your Class A Ordinary Shares (including Class A Ordinary Shares represented by ADSs) tendered pursuant to the Class A Instruction Form or ADS Letter of Transmittal must be purchased if any Class A Ordinary Shares (including Class A Ordinary Shares represented by ADSs) tendered are purchased.</w:t>
      </w:r>
    </w:p>
    <w:p>
      <w:pPr>
        <w:spacing w:after="0" w:line="120"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You may withdraw any Class A Ordinary Shares (including Class A Ordinary Shares represented by ADSs) you have tendered at any time before the Expiration Time, or any later time and date to which the Offer may be extended, in which case you may withdraw your Class A Ordinary Shares (including Class A Ordinary Shares represented by ADSs) until the Expiration Time, as extended. If we have not accepted for payment the Class A Ordinary Shares (including Class A Ordinary Shares represented by ADSs) you have tendered to us, you may also withdraw your Class A Ordinary Shares (including Class A Ordinary Shares represented by ADSs) at any time after 12:00 midnight, New York City time, at the end of the day on October 30, 2025, the completion of the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following the commencement of the Offer.</w:t>
      </w:r>
    </w:p>
    <w:p>
      <w:pPr>
        <w:spacing w:after="0" w:line="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a withdrawal to be effective, a notice of withdrawal must be in written form and must be received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a timely manner by the Tender Agent for ADSs or by Maples Fund Services (Cayman) Limited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for Class A Ordinary Shares not represented by ADSs. Any notice of withdrawal must specify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name of the tendering securityholder; the number of Class A Ordinary Shares (including Class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Ordinary Shares represented by ADSs) to be withdrawn; and the name of the registered holder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Ordinary Shares (including Class A Ordinary Shares represented by ADSs). If ADSs have been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tendered</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pursuant to the procedure for book-entry transfer, the notice of withdrawal must specify the name and the number of the account at the Book-Entry Transfer Facility to be credited with the withdrawn ADSs and must otherwise comply with the Book-Entry Transfer Facility’s procedures.</w:t>
      </w:r>
    </w:p>
    <w:p>
      <w:pPr>
        <w:spacing w:after="0" w:line="102"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We are not making the Offer to, and will not accept, any tendered Class A Ordinary Shares (including Class A Ordinary Shares represented by ADSs) from securityholders in any jurisdiction where it would be illegal to do so. However, we may, at our discretion, take any actions necessary for us to make the Offer to securityholders in any such jurisdiction.</w:t>
      </w:r>
    </w:p>
    <w:p>
      <w:pPr>
        <w:spacing w:after="0" w:line="11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expressly reserve the right, in our sole discretion, to change the Purchase Price and to increase or decrease the number of Class A Ordinary Shares (including Class A Ordinary Shares represented by ADSs) sought in the Offer, subject to applicable law.</w:t>
      </w:r>
    </w:p>
    <w:p>
      <w:pPr>
        <w:spacing w:after="0" w:line="10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Upon the terms and subject to the conditions of the Offer, promptly following the Expiration Time, we will accept for payment up to 225,000,000 Class A Ordinary Shares (including Class A Ordinary Shares represented by ADSs) (or such greater number as we may elect to purchase, subject to applicable law) that are properly tendered and not properly withdrawn. In accordance with the rules of the Securities and Exchange Commission (the “SEC”), if more than 225,000,000 Class A Ordinary Shares (including Class A Ordinary Shares represented by ADSs) are properly tendered in the Offer and not properly withdrawn, we may increase the number of Class A Ordinary Shares (including Class A Ordinary Shares represented by ADSs) accepted for payment in the Offer by no more than 2% of the outstanding Class A Ordinary Shares (including Class A Ordinary Shares represented by ADSs) without extending the Offer.</w:t>
      </w:r>
    </w:p>
    <w:p>
      <w:pPr>
        <w:spacing w:after="0" w:line="120"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 Offer, we will be deemed to have accepted for payment (and therefore be deemed to have purchased), subject to proration and “odd lot” priority provisions of the Offer, Class A Ordinary Shares (including Class A Ordinary Shares represented by ADSs) that are properly tendered and not properly withdrawn only when, as and if we give written notice to the Tender Agent and Registrar of our acceptance of the ADSs and Class A Ordinary Shares, respectively, for payment pursuant to the Offer.</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Upon the terms and subject to the conditions of the Offer, promptly after the Expiration Time, we will accept for payment and pay the Purchase Price, as applicable, for all of the Class A Ordinary Shares (including Class A Ordinary Shares represented by ADSs) accepted for payment in accordance with the Offer. In all cases, payment for Class A Ordinary Shares (including Class A Ordinary Shares represented by ADSs) properly tendered and accepted for payment in accordance with the Offer will be made promptly, subject to possible delay due to proration, but with respect to ADSs, only after timely receipt by the Tender Agent of:</w:t>
      </w:r>
    </w:p>
    <w:p>
      <w:pPr>
        <w:spacing w:after="0" w:line="298" w:lineRule="exact"/>
        <w:rPr>
          <w:sz w:val="20"/>
          <w:szCs w:val="20"/>
          <w:color w:val="auto"/>
        </w:rPr>
      </w:pPr>
    </w:p>
    <w:p>
      <w:pPr>
        <w:ind w:left="1800" w:right="5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timely confirmation of the book-entry transfer of the ADSs into the Tender Agent’s account at the Book-Entry Transfer Facility; and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(a) a properly completed and duly executed Letter of Transmittal, including any required signature guarantees, and any other documents required by the Letter of Transmittal, or (b) an Agent’s Message (as defined below) in the case of a book-entry transfer.</w:t>
      </w:r>
    </w:p>
    <w:p>
      <w:pPr>
        <w:spacing w:after="0" w:line="95"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We will pay for Class A Ordinary Shares represented by ADSs purchased pursuant to the Offer by depositing the aggregate purchase price for the ADSs with the Tender Agent, which will act as agent for tendering securityholders for the purpose of receiving payment from us and transmitting payment to the tendering securityholders. We will pay for Class A Ordinary Shares not represented by ADSs purchased pursuant to the Offer by issuing a check for the purchase price for the Class A Ordinary Shares not represented by ADSs to the address provided in the Class A Instruction Form.</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the event of proration, the Company will determine the proration for each securityholder tendering Class A Ordinary Shares (including Class A Ordinary Shares represented by ADSs). However, we expect that we will not be able to announce the final results of any proration or commence payment for any Class A Ordinary Shares (including Class A Ordinary Shares represented by ADSs) purchased pursuant to the Offer until after the Expiration Time. ADSs tendered and not purchased, including ADSs not purchased due to proration and “odd lot” priority, in the case of ADSs tendered by book-entry transfer, will be credited to the account maintained with the Book-Entry Transfer Facility by the participant who delivered the ADSs, to the tendering securityholder promptly after the expiration or termination of the Offer at our</w:t>
      </w: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1" w:lineRule="auto"/>
        <w:rPr>
          <w:sz w:val="20"/>
          <w:szCs w:val="20"/>
          <w:color w:val="auto"/>
        </w:rPr>
      </w:pPr>
      <w:r>
        <w:rPr>
          <w:rFonts w:ascii="Times New Roman" w:cs="Times New Roman" w:eastAsia="Times New Roman" w:hAnsi="Times New Roman"/>
          <w:sz w:val="18"/>
          <w:szCs w:val="18"/>
          <w:color w:val="auto"/>
        </w:rPr>
        <w:t>expense. Class A Ordinary Shares not represented by ADSs tendered and not purchased will be credited to the account maintained with the Registrar to the tendering securityholder promptly after the expiration or termination of the Offer at our expense and any Class A Ordinary Shares represented by certificates will be promptly returned to the tendering securityholder.</w:t>
      </w:r>
    </w:p>
    <w:p>
      <w:pPr>
        <w:spacing w:after="0" w:line="108" w:lineRule="exact"/>
        <w:rPr>
          <w:sz w:val="20"/>
          <w:szCs w:val="20"/>
          <w:color w:val="auto"/>
        </w:rPr>
      </w:pPr>
    </w:p>
    <w:p>
      <w:pPr>
        <w:ind w:left="1260" w:right="95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Under no circumstances will interest be paid on the Purchase Price for the Class A Ordinary Shares (including Class A Ordinary Shares represented by ADSs), regardless of any delay in making payment.</w:t>
      </w:r>
    </w:p>
    <w:p>
      <w:pPr>
        <w:spacing w:after="0" w:line="6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will pay all share transfer taxes, if any, payable on the transfer to us of Class A Ordinary Shares (including Class A Ordinary Shares represented by ADSs) purchased pursuant to the Offer; provided, however, that if payment of the Purchase Price is to be made to, or (in the circumstances permitted by the Offer) if unpurchased Class A Ordinary Shares (including Class A Ordinary Shares represented by ADSs) are to be registered in the name of, any person other than the registered holder, or if tendered Class A Ordinary Shares (including Class A Ordinary Shares represented by ADSs) are registered in the name of any person other than the person signing the Class A Instruction Form or ADS Letter of Transmittal, the amount of any share transfer taxes payable on account of the transfer to that person (whether imposed on the registered holder or the other person) may be deducted from such Purchase Price unless evidence satisfactory to us of the payment of the share transfer taxes, or exemption from payment of the share transfer taxes, is submitted. In addition, securityholders who tender ADSs will be required to pay for a cash distribution fee of $0.05 per ADS accepted for purchase in the Offer to the ADS Depositary for ADSs tendered and accepted for payment, which the ADS Depositary will deduct from the purchase price received from the Company.</w:t>
      </w:r>
    </w:p>
    <w:p>
      <w:pPr>
        <w:spacing w:after="0" w:line="33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description under “Section 12. Certain U.S. Federal Income Tax Consequences” of the Offer to Purchase describes the principal U.S. federal income tax consequences of the Offer to U.S. Holders (and, solely to the extent set forth under the heading “Information Reporting and Backup Withholding” in such section, Non-U.S. Holders) whose ADSs are properly tendered and accepted for payment pursuant to the Offer. The description applies also to U.S. Holders (and, solely to the extent set forth under the heading “Information Reporting and Backup Withholding” in such section, Non-U.S. Holders) whose Class A Ordinary Shares not represented by ADSs are properly tendered, treating each reference in that description to ‘ADSs’ as a reference instead to ‘Class A Ordinary Shares’. Securityholders who do not participate in the Offer will not incur any U.S. federal income tax liability as a result of the Offer.</w:t>
      </w:r>
    </w:p>
    <w:p>
      <w:pPr>
        <w:spacing w:after="0" w:line="121"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You may contact the Information Agent, the Dealer Manager or your broker, dealer, commercial bank, trust company or other nominee for assistance. The contact information for the Information Agent and the Dealer Manager is set forth at the end of this letter.</w:t>
      </w:r>
    </w:p>
    <w:p>
      <w:pPr>
        <w:spacing w:after="0" w:line="174" w:lineRule="exact"/>
        <w:rPr>
          <w:sz w:val="20"/>
          <w:szCs w:val="20"/>
          <w:color w:val="auto"/>
        </w:rPr>
      </w:pPr>
    </w:p>
    <w:p>
      <w:pPr>
        <w:ind w:left="1260" w:right="519"/>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“Odd Lot” Priority Applies to any person who holds or beneficially owns a total of fewer than 100 Class A Ordinary Shares (including Class A Ordinary Shares represented by ADSs)</w:t>
      </w:r>
    </w:p>
    <w:p>
      <w:pPr>
        <w:spacing w:after="0" w:line="9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Company is amending the Offer to reflect that the term “odd lots” means all Class A Ordinary Shares (including Class A Ordinary Shares represented by ADSs) properly tendered prior to the Expiration Time at the Purchase Price, and not properly withdrawn, by any person who held or beneficially owned a total of fewer than 100 Class A Ordinary Shares and, if applicable, so certified in the appropriate place on the applicable Letter of Transmittal (an “</w:t>
      </w:r>
      <w:r>
        <w:rPr>
          <w:rFonts w:ascii="Times New Roman" w:cs="Times New Roman" w:eastAsia="Times New Roman" w:hAnsi="Times New Roman"/>
          <w:sz w:val="18"/>
          <w:szCs w:val="18"/>
          <w:i w:val="1"/>
          <w:iCs w:val="1"/>
          <w:color w:val="auto"/>
        </w:rPr>
        <w:t>Odd Lot Holder</w:t>
      </w:r>
      <w:r>
        <w:rPr>
          <w:rFonts w:ascii="Times New Roman" w:cs="Times New Roman" w:eastAsia="Times New Roman" w:hAnsi="Times New Roman"/>
          <w:sz w:val="18"/>
          <w:szCs w:val="18"/>
          <w:color w:val="auto"/>
        </w:rPr>
        <w:t>”). The Company previously noted that “odd lots” means all ADSs tendered by any person who held or beneficially owned a total of fewer than 100 ADSs. As a result of this change, “odd lots” applies only to any person who holds or beneficially owns a total of fewer than 100 Class A Ordinary Shares (including Class A Ordinary Shares represented by ADSs). Odd lots will be accepted for payment before any proration of the purchase of other tendered Class A Ordinary Shares (including Class A Ordinary Shares represented by ADSs). This preference is not available to partial tenders or registered holders or beneficial owners of 100 or more Class A Ordinary Shares (including Class A Ordinary Shares represented by ADSs) in the aggregate, even if these holders have separate accounts representing fewer than 100 Class A Ordinary Shares (including Class A Ordinary Shares represented by ADSs). Odd Lot Holders who hold Class A Ordinary Shares (including Class A Ordinary Shares represented by ADSs) in registered form and who wish to tender all of their Class A Ordinary Shares (including Class A Ordinary Shares represented by ADSs) pursuant to the Offer should complete the section entitled “Odd Lots” in the applicable Letter of Transmittal.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As a result of this change to “odd lots”, if more than 225,000,000 Class A Ordinary Shares (including Class A Ordinary Shares represented by ADSs) are properly tendered and not properly withdrawn prior to the Expiration Time, upon the terms and subject to the conditions of the Offer, we will purchase all Class A Ordinary Shares (including Class A Ordinary Shares represented by ADSs) properly tendered and not properly withdrawn prior to the Expiration Time in the following order of priority:</w:t>
      </w:r>
    </w:p>
    <w:p>
      <w:pPr>
        <w:spacing w:after="0" w:line="87" w:lineRule="exact"/>
        <w:rPr>
          <w:sz w:val="20"/>
          <w:szCs w:val="20"/>
          <w:color w:val="auto"/>
        </w:rPr>
      </w:pPr>
    </w:p>
    <w:p>
      <w:pPr>
        <w:ind w:left="1800" w:right="559" w:hanging="180"/>
        <w:spacing w:after="0" w:line="267"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all Class A Ordinary Shares owned in “odd lots” (less​ than 100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Class A Ordinary Shares represented by ADSs), all of which have been properly tendered and not properly withdrawn prior to the Expiration Time.</w:t>
      </w:r>
    </w:p>
    <w:p>
      <w:pPr>
        <w:spacing w:after="0" w:line="65"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 </w:t>
      </w:r>
      <w:r>
        <w:rPr>
          <w:rFonts w:ascii="Times New Roman" w:cs="Times New Roman" w:eastAsia="Times New Roman" w:hAnsi="Times New Roman"/>
          <w:sz w:val="18"/>
          <w:szCs w:val="18"/>
          <w:color w:val="auto"/>
        </w:rPr>
        <w:t>all other tendered Class A Ordinary Shares (including Class A Ordinary Shares represented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ADSs) that have been properly tendered and not withdrawn prior to the Expiration Time on a pro rata basis with appropriate adjustments to avoid purchases of fractional Class A Ordinary Shares and ADSs, as described below. Such proration will apply to all securityholders without priority. If proration of tendered Class A Ordinary Shares (including Class A Ordinary Shares represented by ADSs) is required, we will determine the proration factor as promptly as practicable following the Expiration Time. Subject to adjustment to avoid the purchase of fractional Class A Ordinary Shares and ADSs, proration for each beneficial owner tendering Class A Ordinary Shares (including Class A Ordinary Shares represented by ADSs) will be based on the ratio of the number of Class A Ordinary Shares (including Class A Ordinary Shares represented by ADSs) properly tendered and not properly withdrawn by the beneficial owner to the total number of Class A Ordinary Shares (including Class A Ordinary Shares represented by ADSs) properly tendered and not properly withdrawn by all securityholders.</w:t>
      </w:r>
    </w:p>
    <w:p>
      <w:pPr>
        <w:spacing w:after="0" w:line="327"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may not purchase all of the Class A Ordinary Shares (including Class A Ordinary Shares represented by ADSs) properly tendered and not properly withdrawn because of proration and “odd lot” priority provisions described in this Offer to Purchase.</w:t>
      </w:r>
    </w:p>
    <w:p>
      <w:pPr>
        <w:spacing w:after="0" w:line="174" w:lineRule="exact"/>
        <w:rPr>
          <w:sz w:val="20"/>
          <w:szCs w:val="20"/>
          <w:color w:val="auto"/>
        </w:rPr>
      </w:pPr>
    </w:p>
    <w:p>
      <w:pPr>
        <w:ind w:left="1260" w:right="479"/>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Removal of Requirement to Obtain Company Consent and Pay Issuance Fees to ADS Depositary in order to Deposit Class A Ordinary Shares for Conversion into ADSs in connection with the Offer</w:t>
      </w:r>
    </w:p>
    <w:p>
      <w:pPr>
        <w:spacing w:after="0" w:line="93"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Initial Offer to Purchase noted that, in order to deposit Class A Ordinary Shares for conversion into ADSs in connection with the Offer, the Company must consent to such deposit of Class A Ordinary Shares prior to conversion and the holder of Class A Ordinary Shares would be responsible for any issuance fees related to the issuance of ADSs.</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If you elect to deposit your Class A Ordinary Shares for conversion into ADSs in connection with the Offer, you will not be required to obtain the consent of the Company for conversion of such Class A Ordinary Shares into ADSs and you will not be required to pay any issuance fees payable to the ADS Depositary. The Company has agreed to pay for any such issuance fees payable to the ADS Depositary.</w:t>
      </w:r>
    </w:p>
    <w:p>
      <w:pPr>
        <w:spacing w:after="0" w:line="178" w:lineRule="exact"/>
        <w:rPr>
          <w:sz w:val="20"/>
          <w:szCs w:val="20"/>
          <w:color w:val="auto"/>
        </w:rPr>
      </w:pPr>
    </w:p>
    <w:p>
      <w:pPr>
        <w:ind w:left="1260" w:right="719"/>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Elimination of Financing Condition as a Condition to the Offer and Entry into New $9.75 Million Credit Facility</w:t>
      </w:r>
    </w:p>
    <w:p>
      <w:pPr>
        <w:spacing w:after="0" w:line="7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Company hereby notifies you that it has eliminated the Financing Condition (as defined in the Initial Offer to Purchase) as a condition to the Offer and all references to the Financing Condition should be deemed to be removed from the Initial Offer to Purchase.</w:t>
      </w:r>
    </w:p>
    <w:p>
      <w:pPr>
        <w:spacing w:after="0" w:line="108"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On September 11, 2025, Moatable US Holdco Inc., Lofty, Inc., and Trucker Path, Inc., each wholly owned subsidiaries of the Company, jointly and severally as borrowers (the “</w:t>
      </w:r>
      <w:r>
        <w:rPr>
          <w:rFonts w:ascii="Times New Roman" w:cs="Times New Roman" w:eastAsia="Times New Roman" w:hAnsi="Times New Roman"/>
          <w:sz w:val="18"/>
          <w:szCs w:val="18"/>
          <w:i w:val="1"/>
          <w:iCs w:val="1"/>
          <w:color w:val="auto"/>
        </w:rPr>
        <w:t>Borrowers</w:t>
      </w:r>
      <w:r>
        <w:rPr>
          <w:rFonts w:ascii="Times New Roman" w:cs="Times New Roman" w:eastAsia="Times New Roman" w:hAnsi="Times New Roman"/>
          <w:sz w:val="18"/>
          <w:szCs w:val="18"/>
          <w:color w:val="auto"/>
        </w:rPr>
        <w:t>”), entered into a new $9.75 million senior secured credit facility (the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pursuant to that certain credit agreement (the “</w:t>
      </w:r>
      <w:r>
        <w:rPr>
          <w:rFonts w:ascii="Times New Roman" w:cs="Times New Roman" w:eastAsia="Times New Roman" w:hAnsi="Times New Roman"/>
          <w:sz w:val="18"/>
          <w:szCs w:val="18"/>
          <w:i w:val="1"/>
          <w:iCs w:val="1"/>
          <w:color w:val="auto"/>
        </w:rPr>
        <w:t>Loan Agreement</w:t>
      </w:r>
      <w:r>
        <w:rPr>
          <w:rFonts w:ascii="Times New Roman" w:cs="Times New Roman" w:eastAsia="Times New Roman" w:hAnsi="Times New Roman"/>
          <w:sz w:val="18"/>
          <w:szCs w:val="18"/>
          <w:color w:val="auto"/>
        </w:rPr>
        <w:t>”), dated as of September 11, 2025, with PNC Bank, National Association (“</w:t>
      </w:r>
      <w:r>
        <w:rPr>
          <w:rFonts w:ascii="Times New Roman" w:cs="Times New Roman" w:eastAsia="Times New Roman" w:hAnsi="Times New Roman"/>
          <w:sz w:val="18"/>
          <w:szCs w:val="18"/>
          <w:i w:val="1"/>
          <w:iCs w:val="1"/>
          <w:color w:val="auto"/>
        </w:rPr>
        <w:t>PNC</w:t>
      </w:r>
      <w:r>
        <w:rPr>
          <w:rFonts w:ascii="Times New Roman" w:cs="Times New Roman" w:eastAsia="Times New Roman" w:hAnsi="Times New Roman"/>
          <w:sz w:val="18"/>
          <w:szCs w:val="18"/>
          <w:color w:val="auto"/>
        </w:rPr>
        <w:t>”), as lender. The Borrowers borrowed $9.75 million under the Credit Facility on September 11, 2025.</w:t>
      </w:r>
    </w:p>
    <w:p>
      <w:pPr>
        <w:spacing w:after="0" w:line="33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Credit Facility will mature on October 31, 2026. Borrowings under the Credit Facility will bear interest at a rate per annum equal to the Daily Simple SOFR (as defined in the Loan Agreement) plus</w:t>
      </w: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1.50%, plus a credit spread adjustment of 0.1%. The Borrowers will also be required to pay a commitment fee for the unused portion of the Credit Facility of 0.15%.</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Any borrowings under the Credit Facility may be repaid, in whole or in part, at any time and from time to time without any other premium or penalty. Any amounts repaid under the Credit Facility may not be reborrowed. The Credit Facility does not require any mandatory prepayments or amortization payments.</w:t>
      </w:r>
    </w:p>
    <w:p>
      <w:pPr>
        <w:spacing w:after="0" w:line="10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Credit Facility will be 100% cash collateralized. Additionally, the Company will establish an interest reserve equal to three months’ worth of interest payments.</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Loan Agreement contains certain customary representations and warranties and customary restrictive covenants including covenants regarding additional indebtedness, asset transfers, liens, investments and acquisitions, transactions with affiliates, prepayments of indebtedness, and restricted payments. The Loan Agreement also contains certain customary events of default. If an event of default has occurred and continues beyond any applicable cure period, interest will accrue at 2% per annum higher than the rate of interest applicable.</w:t>
      </w:r>
    </w:p>
    <w:p>
      <w:pPr>
        <w:spacing w:after="0" w:line="106"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Company plans to fund any purchase of its Class A Ordinary Shares (including Class A Ordinary Shares represented by ADSs) pursuant to the Offer, including the related fees and expenses, using cash on hand and funds borrowed under the Credit Facility.</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Updated Class A Outstanding Shares and Related Disclosure</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As of August 27, 2025, we had 653,415,163 Class A Ordinary Shares outstanding (including 14,279,371 ADSs, representing 642,571,713 Class A Ordinary Shares) and 170,258,970 Class B ordinary shares, par value $0.001 per share (“</w:t>
      </w:r>
      <w:r>
        <w:rPr>
          <w:rFonts w:ascii="Times New Roman" w:cs="Times New Roman" w:eastAsia="Times New Roman" w:hAnsi="Times New Roman"/>
          <w:sz w:val="18"/>
          <w:szCs w:val="18"/>
          <w:i w:val="1"/>
          <w:iCs w:val="1"/>
          <w:color w:val="auto"/>
        </w:rPr>
        <w:t>Class B Ordinary Shares</w:t>
      </w:r>
      <w:r>
        <w:rPr>
          <w:rFonts w:ascii="Times New Roman" w:cs="Times New Roman" w:eastAsia="Times New Roman" w:hAnsi="Times New Roman"/>
          <w:sz w:val="18"/>
          <w:szCs w:val="18"/>
          <w:color w:val="auto"/>
        </w:rPr>
        <w:t>”), outstanding. The 225,000,000 Class A Ordinary Shares (including Class A Ordinary Shares represented by ADSs) that we are offering to purchase hereunder represent approximately 34.4% of the total number of our outstanding Class A Ordinary Shares and approximately 27.3% of our outstanding share capital as of August 27, 2025. If the Offer is fully subscribed, we would have approximately 428,415,163 Class A Ordinary Shares (including 9,279,371 ADSs, representing 417,571,713 Class A Ordinary Shares) outstanding immediately following the purchase of Class A Ordinary Shares (including Class A Ordinary Shares represented by ADSs) tendered in the Offer. The actual number of Class A Ordinary Shares (including Class A Ordinary Shares represented by ADSs) outstanding immediately following completion of the Offer will depend on the number of Class A Ordinary Shares (including Class A Ordinary Shares represented by ADSs) tendered and purchased in the Offer.</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Mr. Joseph Chen, our Chairman and Chief Executive Officer, beneficially owns 4,891,021 Class A Ordinary Shares, 268,726,545 Class A Ordinary Shares represented by 5,971,701 ADSs and 170,258,970 Class B Ordinary Shares, which represents all of our outstanding Class B Ordinary Shares. Mr. Chen has informed us that he does not intend to participate in this Offer. Our other directors and executive officers are entitled to participate in the Offer on the same basis as all other securityholders and certain of our directors and executive officers may tender Class A Ordinary Shares (including Class A Ordinary Shares represented by ADSs) in the Offer. The equity ownership of our directors and executive officers who do not tender their Class A Ordinary Shares (including Class A Ordinary Shares represented by ADSs) in the Offer, including Mr. Chen, will proportionally increase as a percentage of our outstanding ordinary shares following the consummation of the Offer. If the Offer is fully subscribed, Mr. Chen will beneficially own approximately 63.9% of our outstanding Class A Ordinary Shares and all of our outstanding Class B Ordinary Shares, which would collectively represent 92.7% of the combined voting power immediately after the Offer.</w:t>
      </w:r>
    </w:p>
    <w:p>
      <w:pPr>
        <w:spacing w:after="0" w:line="10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replaces the table in our Initial Offer to Purchase to reflect the updated outstanding Class A Ordinary Shares (including Class A Ordinary Shares represented by ADSs) with respect to the beneficial ownership of our ordinary shares (including Class A Ordinary Shares and Class A Ordinary Shares represented by ADSs), as of August 27, 2025, by:</w:t>
      </w:r>
    </w:p>
    <w:p>
      <w:pPr>
        <w:spacing w:after="0" w:line="85"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 (by number or by voting power).</w:t>
      </w:r>
    </w:p>
    <w:p>
      <w:pPr>
        <w:spacing w:after="0" w:line="81"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The calculations in the table below are based on 823,674,133 ordinary shares outstanding as of August 27, 2025, including 653,415,163 Class A Ordinary Shares and 170,258,970 Class B Ordinary Shares.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w w:val="98"/>
              </w:rPr>
              <w:t>American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7"/>
              </w:rPr>
              <w:t>Depositary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8"/>
              </w:rPr>
              <w:t>Shares Beneficially</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7"/>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Ordinary Shares Beneficially</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7"/>
              </w:rPr>
              <w:t>Owned as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 as of August 27, 2025</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 August 27, 2025*** ​</w:t>
            </w: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ordinary</w:t>
            </w:r>
          </w:p>
        </w:tc>
        <w:tc>
          <w:tcPr>
            <w:tcW w:w="1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on an as</w:t>
            </w:r>
          </w:p>
        </w:tc>
        <w:tc>
          <w:tcPr>
            <w:tcW w:w="14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0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7"/>
                <w:szCs w:val="17"/>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 converted basis ​​voting power** ​​</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1120" w:type="dxa"/>
            <w:vAlign w:val="bottom"/>
            <w:gridSpan w:val="3"/>
          </w:tcPr>
          <w:p>
            <w:pPr>
              <w:ind w:left="6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8"/>
                <w:szCs w:val="18"/>
                <w:color w:val="auto"/>
              </w:rPr>
            </w:pPr>
          </w:p>
        </w:tc>
        <w:tc>
          <w:tcPr>
            <w:tcW w:w="1460" w:type="dxa"/>
            <w:vAlign w:val="bottom"/>
            <w:gridSpan w:val="5"/>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5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Joseph Chen</w:t>
            </w:r>
            <w:r>
              <w:rPr>
                <w:rFonts w:ascii="Times New Roman" w:cs="Times New Roman" w:eastAsia="Times New Roman" w:hAnsi="Times New Roman"/>
                <w:sz w:val="23"/>
                <w:szCs w:val="23"/>
                <w:color w:val="auto"/>
                <w:vertAlign w:val="superscript"/>
              </w:rPr>
              <w:t>(1)</w:t>
            </w:r>
          </w:p>
        </w:tc>
        <w:tc>
          <w:tcPr>
            <w:tcW w:w="338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273,617,566​​​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170,258,970​​​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​83.9%</w:t>
            </w:r>
          </w:p>
        </w:tc>
        <w:tc>
          <w:tcPr>
            <w:tcW w:w="14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5,971,701​​​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Scott Stone</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James Jian Liu</w:t>
            </w:r>
            <w:r>
              <w:rPr>
                <w:rFonts w:ascii="Times New Roman" w:cs="Times New Roman" w:eastAsia="Times New Roman" w:hAnsi="Times New Roman"/>
                <w:sz w:val="23"/>
                <w:szCs w:val="23"/>
                <w:color w:val="auto"/>
                <w:vertAlign w:val="superscript"/>
              </w:rPr>
              <w:t>(2)</w:t>
            </w:r>
          </w:p>
        </w:tc>
        <w:tc>
          <w:tcPr>
            <w:tcW w:w="18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71,814,827​​​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w:t>
            </w: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3.0%</w:t>
            </w:r>
          </w:p>
        </w:tc>
        <w:tc>
          <w:tcPr>
            <w:tcW w:w="14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1,592,993​​​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Moon</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888,165​​​</w:t>
            </w:r>
            <w:r>
              <w:rPr>
                <w:rFonts w:ascii="Times New Roman" w:cs="Times New Roman" w:eastAsia="Times New Roman" w:hAnsi="Times New Roman"/>
                <w:sz w:val="18"/>
                <w:szCs w:val="18"/>
                <w:b w:val="1"/>
                <w:bCs w:val="1"/>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19,737​​​</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0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group (4 persons)</w:t>
            </w:r>
          </w:p>
        </w:tc>
        <w:tc>
          <w:tcPr>
            <w:tcW w:w="338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346,320,558​​​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53.0​​%​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170,258,970​​​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​87.0%</w:t>
            </w:r>
          </w:p>
        </w:tc>
        <w:tc>
          <w:tcPr>
            <w:tcW w:w="14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7,584,431​​​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59.2%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5% Shareholder:</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5"/>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Cosmic Giant International Ltd</w:t>
            </w:r>
            <w:r>
              <w:rPr>
                <w:rFonts w:ascii="Times New Roman" w:cs="Times New Roman" w:eastAsia="Times New Roman" w:hAnsi="Times New Roman"/>
                <w:sz w:val="23"/>
                <w:szCs w:val="23"/>
                <w:color w:val="auto"/>
                <w:vertAlign w:val="superscript"/>
              </w:rPr>
              <w:t>(3)</w:t>
            </w:r>
          </w:p>
        </w:tc>
        <w:tc>
          <w:tcPr>
            <w:tcW w:w="18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93,358,710​​​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14.3​​%​</w:t>
            </w: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4.0%</w:t>
            </w:r>
          </w:p>
        </w:tc>
        <w:tc>
          <w:tcPr>
            <w:tcW w:w="14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2,074,638​​​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-1346200</wp:posOffset>
            </wp:positionV>
            <wp:extent cx="61804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102235</wp:posOffset>
            </wp:positionV>
            <wp:extent cx="12344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1" w:lineRule="exact"/>
        <w:rPr>
          <w:sz w:val="20"/>
          <w:szCs w:val="20"/>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77" w:lineRule="exact"/>
        <w:rPr>
          <w:sz w:val="20"/>
          <w:szCs w:val="20"/>
          <w:color w:val="auto"/>
        </w:rPr>
      </w:pPr>
    </w:p>
    <w:p>
      <w:pPr>
        <w:ind w:left="1620" w:right="920" w:hanging="360"/>
        <w:spacing w:after="0" w:line="255"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In respect of all matters subject to a shareholders’ vote, each Class A Ordinary Share is entitled to one vote, and each Class B Ordinary Share is entitled to ten votes, voting together as one class. Each Class B Ordinary Share is convertible into one Class A Ordinary Share at any time by the holder thereof. Class A Ordinary Shares are not convertible into Class B Ordinary Shares under any circumstances.</w:t>
      </w:r>
    </w:p>
    <w:p>
      <w:pPr>
        <w:spacing w:after="0" w:line="40" w:lineRule="exact"/>
        <w:rPr>
          <w:rFonts w:ascii="Times New Roman" w:cs="Times New Roman" w:eastAsia="Times New Roman" w:hAnsi="Times New Roman"/>
          <w:sz w:val="18"/>
          <w:szCs w:val="18"/>
          <w:color w:val="auto"/>
        </w:rPr>
      </w:pPr>
    </w:p>
    <w:p>
      <w:pPr>
        <w:ind w:left="1620" w:right="920"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represented by the ADSs reported in this column is included in the amount reported in the “Class A Ordinary Share” column of the table.</w:t>
      </w:r>
    </w:p>
    <w:p>
      <w:pPr>
        <w:spacing w:after="0" w:line="13" w:lineRule="exact"/>
        <w:rPr>
          <w:sz w:val="20"/>
          <w:szCs w:val="20"/>
          <w:color w:val="auto"/>
        </w:rPr>
      </w:pPr>
    </w:p>
    <w:p>
      <w:pPr>
        <w:ind w:left="1620" w:right="1720" w:hanging="360"/>
        <w:spacing w:after="0" w:line="282"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4,891,021 Class A Ordinary Shares, (ii) 268,726,545 Class A Ordinary Shares represented by 5,971,701 ADSs, and (iii) 170,258,970 Class B Ordinary Shares.</w:t>
      </w:r>
    </w:p>
    <w:p>
      <w:pPr>
        <w:spacing w:after="0" w:line="13" w:lineRule="exact"/>
        <w:rPr>
          <w:rFonts w:ascii="Times New Roman" w:cs="Times New Roman" w:eastAsia="Times New Roman" w:hAnsi="Times New Roman"/>
          <w:sz w:val="18"/>
          <w:szCs w:val="18"/>
          <w:color w:val="auto"/>
        </w:rPr>
      </w:pPr>
    </w:p>
    <w:p>
      <w:pPr>
        <w:jc w:val="both"/>
        <w:ind w:left="1620" w:right="1320" w:hanging="360"/>
        <w:spacing w:after="0" w:line="26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 Class A Ordinary Shares; (ii) 71,684,685 Class A Ordinary Shares represented by 1,592,993 ADSs; and (iii) 130,140 Class A Ordinary Shares (represented by 2,892 ADSs) issuable upon vesting of restricted share units held by Mr. Liu within 60 days after August 27, 2025.</w:t>
      </w:r>
    </w:p>
    <w:p>
      <w:pPr>
        <w:spacing w:after="0" w:line="27" w:lineRule="exact"/>
        <w:rPr>
          <w:rFonts w:ascii="Times New Roman" w:cs="Times New Roman" w:eastAsia="Times New Roman" w:hAnsi="Times New Roman"/>
          <w:sz w:val="18"/>
          <w:szCs w:val="18"/>
          <w:color w:val="auto"/>
        </w:rPr>
      </w:pPr>
    </w:p>
    <w:p>
      <w:pPr>
        <w:ind w:left="1620" w:right="1020" w:hanging="360"/>
        <w:spacing w:after="0" w:line="258"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December 18, 2024, of information as of December 9, 2024, and represents 93,358,710 Class A Ordinary Shares beneficially owned by Cosmic Giant International Ltd., a British Virgin Islands company. The address or principal business office of Cosmic Giant International Ltd. is c/o Vistra Corporate Services Centre, Wickhams Cay II, Road Town, Tortola, VG1110, British Virgin Islands.</w:t>
      </w:r>
    </w:p>
    <w:p>
      <w:pPr>
        <w:spacing w:after="0" w:line="181" w:lineRule="exact"/>
        <w:rPr>
          <w:sz w:val="20"/>
          <w:szCs w:val="20"/>
          <w:color w:val="auto"/>
        </w:rPr>
      </w:pPr>
    </w:p>
    <w:p>
      <w:pPr>
        <w:ind w:left="1260" w:right="11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Factors with Respect to our Decision whether to Voluntarily Suspend our Reporting Obligations with the SEC</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August 27, 2025, our Class A Ordinary Shares and ADSs were held of record by approximately</w:t>
      </w:r>
    </w:p>
    <w:p>
      <w:pPr>
        <w:spacing w:after="0" w:line="16" w:lineRule="exact"/>
        <w:rPr>
          <w:sz w:val="20"/>
          <w:szCs w:val="20"/>
          <w:color w:val="auto"/>
        </w:rPr>
      </w:pPr>
    </w:p>
    <w:p>
      <w:pPr>
        <w:ind w:left="1260" w:right="900"/>
        <w:spacing w:after="0" w:line="241" w:lineRule="auto"/>
        <w:rPr>
          <w:sz w:val="20"/>
          <w:szCs w:val="20"/>
          <w:color w:val="auto"/>
        </w:rPr>
      </w:pPr>
      <w:r>
        <w:rPr>
          <w:rFonts w:ascii="Times New Roman" w:cs="Times New Roman" w:eastAsia="Times New Roman" w:hAnsi="Times New Roman"/>
          <w:sz w:val="18"/>
          <w:szCs w:val="18"/>
          <w:color w:val="auto"/>
        </w:rPr>
        <w:t>147 persons. Because our Class A Ordinary Shares and ADSs are currently held by less than 300 persons, we were eligible to voluntarily suspend our reporting obligations prior to the Offer and will continue to be eligible for suspension of our reporting obligations immediately after the completion of the Offer. We are currently considering, and may decide, to suspend our reporting obligations under the Exchange Act following the completion of the Offer. We intend to decide whether we will suspend our reporting obligations prior to December 31, 2025 based on our cost analysis of our ongoing reporting obligations and the trading and liquidity of our ADSs in the over-the-counter market, as reported by the Pink Limited Market. As a result, if we decide to suspend our reporting obligations with the SEC, we would no longer file periodic reports with the SEC, including, among others, Annual Reports on Form 10- K, Quarterly Reports on Form 10-Q and Current Reports on Form 8-K. In addition, we would no longer be subject to the SEC’s requirements to file proxy statements on Schedule 14A or Section 16 ownership reports.</w:t>
      </w:r>
    </w:p>
    <w:p>
      <w:pPr>
        <w:sectPr>
          <w:pgSz w:w="11900" w:h="16838" w:orient="portrait"/>
          <w:cols w:equalWidth="0" w:num="1">
            <w:col w:w="10360"/>
          </w:cols>
          <w:pgMar w:left="580" w:top="97" w:right="959" w:bottom="1440" w:gutter="0" w:footer="0" w:header="0"/>
        </w:sect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60"/>
          </w:cols>
          <w:pgMar w:left="580" w:top="97" w:right="95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ADS Letter of Transmittal and any other required documents should be sent or delivered by each holder of ADS or the ADS holder’s broker, dealer, commercial bank, trust company or nominee to the Tender Agent at one of its addresses set forth below. To confirm delivery of the ADS Letter of Transmittal, ADS holders are directed to contact the Tender Agent.</w:t>
      </w:r>
    </w:p>
    <w:p>
      <w:pPr>
        <w:spacing w:after="0" w:line="11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The Tender Agent for ADSs tendered in the Offer is:</w:t>
      </w:r>
    </w:p>
    <w:p>
      <w:pPr>
        <w:spacing w:after="0" w:line="1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Citibank, N.A.</w:t>
      </w:r>
    </w:p>
    <w:p>
      <w:pPr>
        <w:sectPr>
          <w:pgSz w:w="11900" w:h="16838" w:orient="portrait"/>
          <w:cols w:equalWidth="0" w:num="1">
            <w:col w:w="9879"/>
          </w:cols>
          <w:pgMar w:left="580" w:top="97" w:right="1440" w:bottom="1440" w:gutter="0" w:footer="0" w:header="0"/>
        </w:sectPr>
      </w:pP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 Mail: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Registered or Overnight Delivery: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4540" w:space="720"/>
            <w:col w:w="140" w:space="80"/>
            <w:col w:w="3260" w:space="720"/>
            <w:col w:w="419"/>
          </w:cols>
          <w:pgMar w:left="580" w:top="97" w:right="1440" w:bottom="1440" w:gutter="0" w:footer="0" w:header="0"/>
          <w:type w:val="continuous"/>
        </w:sectPr>
      </w:pP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 Voluntary Corporate Actions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P.O. Box 43011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Providence, RI 02940-3011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Voluntary Corporate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Royall Street, Suite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153" w:lineRule="exact"/>
        <w:rPr>
          <w:sz w:val="20"/>
          <w:szCs w:val="20"/>
          <w:color w:val="auto"/>
        </w:rPr>
      </w:pPr>
    </w:p>
    <w:p>
      <w:pPr>
        <w:sectPr>
          <w:pgSz w:w="11900" w:h="16838" w:orient="portrait"/>
          <w:cols w:equalWidth="0" w:num="2">
            <w:col w:w="4760" w:space="720"/>
            <w:col w:w="4399"/>
          </w:cols>
          <w:pgMar w:left="580" w:top="97" w:right="1440" w:bottom="1440" w:gutter="0" w:footer="0" w:header="0"/>
          <w:type w:val="continuous"/>
        </w:sect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Class A Instruction Form and any other required documents should be sent or delivered by each holder of Class A Ordinary Shares not represented by ADS or such Class A Ordinary Shareholder’s broker, dealer, commercial bank, trust company or nominee to the Registrar at its address set forth below. To confirm delivery of Class A Ordinary Shares not represented by ADSs, holders of Class A Ordinary Shares not represented by ADSs are directed to contact the Registrar.</w:t>
      </w:r>
    </w:p>
    <w:p>
      <w:pPr>
        <w:spacing w:after="0" w:line="10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The Registrar for Class A Ordinary Shares not represented by ADSs tendered in the Offer is:</w:t>
      </w:r>
    </w:p>
    <w:p>
      <w:pPr>
        <w:spacing w:after="0" w:line="15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Maples Fund Services (Cayman) Limited</w:t>
      </w:r>
    </w:p>
    <w:p>
      <w:pPr>
        <w:spacing w:after="0" w:line="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c/o Maples Fund Servies (Asia) Limited</w:t>
      </w:r>
    </w:p>
    <w:p>
      <w:pPr>
        <w:jc w:val="center"/>
        <w:ind w:right="-800"/>
        <w:spacing w:after="0" w:line="217" w:lineRule="auto"/>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Central Plaza, 18 Harbour Road, Wanchai, Hong Kong</w:t>
      </w:r>
    </w:p>
    <w:p>
      <w:pPr>
        <w:ind w:left="3460"/>
        <w:spacing w:after="0"/>
        <w:rPr>
          <w:sz w:val="20"/>
          <w:szCs w:val="20"/>
          <w:color w:val="auto"/>
        </w:rPr>
      </w:pPr>
      <w:r>
        <w:rPr>
          <w:rFonts w:ascii="Times New Roman" w:cs="Times New Roman" w:eastAsia="Times New Roman" w:hAnsi="Times New Roman"/>
          <w:sz w:val="18"/>
          <w:szCs w:val="18"/>
          <w:color w:val="auto"/>
        </w:rPr>
        <w:t>Attention: Investor Services Department (MCCS)</w:t>
      </w:r>
    </w:p>
    <w:p>
      <w:pPr>
        <w:spacing w:after="0" w:line="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e-mail address: mfs-mccs@maples.com</w:t>
      </w:r>
    </w:p>
    <w:p>
      <w:pPr>
        <w:spacing w:after="0" w:line="13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14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Georgeson LLC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51 West 52nd Street, 6th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New York, NY 10019</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Call Toll-Free Within the United States: (866) 585-6991</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From Outside of the United States: (518) 861-3759</w:t>
      </w:r>
    </w:p>
    <w:p>
      <w:pPr>
        <w:spacing w:after="0" w:line="13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The Dealer Manager for the Offer is:</w:t>
      </w:r>
    </w:p>
    <w:p>
      <w:pPr>
        <w:spacing w:after="0" w:line="15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Needham &amp; Company</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Needham &amp; Company, LLC</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Corporate Services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250 Park Avenue, 10th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New York, New York 10177</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Phone: (212) 371-8300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or</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(800) 903-3268 (Call Toll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ADS Letter of Transmittal</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for Tender of Class A Ordinary Shares represented by American Depositary Shares, including those American</w:t>
      </w:r>
    </w:p>
    <w:p>
      <w:pPr>
        <w:spacing w:after="0" w:line="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Depositary Shares subject to transfer restrictions (collectively, “ADSs”)</w:t>
      </w:r>
    </w:p>
    <w:p>
      <w:pPr>
        <w:jc w:val="cente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Pursuant to the Offer to Purchase for cash, dated September 3, 2025, as amended by the Supplemental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dated September 12, 2025</w:t>
      </w:r>
    </w:p>
    <w:p>
      <w:pPr>
        <w:spacing w:after="0" w:line="12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Up to 225,000,000 of its Class A Ordinary Shares (including Class A Ordinary Shares represented by ADSs)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a Purchase Price of $3.00/45 per Class A Ordinary Share (or $3.00 per ADS)</w:t>
      </w:r>
    </w:p>
    <w:p>
      <w:pPr>
        <w:spacing w:after="0" w:line="122"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THE OFFER, PRORATION PERIOD AND WITHDRAWAL RIGHTS WILL EXPIRE AT 12:00 MIDNIGHT, NEW YORK CITY TIME, AT THE END OF THE DAY ON SEPTEMBER 30, 2025, UNLESS THE OFFER IS EXTENDED OR TERMINATED (SUCH DATE AND TIME, AS THEY MAY BE EXTENDED, THE “EXPIRATION TIME”).</w:t>
      </w:r>
    </w:p>
    <w:p>
      <w:pPr>
        <w:spacing w:after="0" w:line="105"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18"/>
          <w:szCs w:val="18"/>
          <w:i w:val="1"/>
          <w:iCs w:val="1"/>
          <w:color w:val="auto"/>
        </w:rPr>
        <w:t>This Letter of Transmittal should be (a) completed and signed in the space provided below and in the space provided on the IRS Form W-9 below (or an appropriate IRS Form W-8, as applicable) and (b) mailed to Citibank, N.A, as Tender Agent (the “Tender Agent”), at one of the following addresses: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6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i w:val="1"/>
                <w:iCs w:val="1"/>
                <w:color w:val="auto"/>
              </w:rPr>
              <w:t>By Mail:</w:t>
            </w:r>
          </w:p>
        </w:tc>
        <w:tc>
          <w:tcPr>
            <w:tcW w:w="15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24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rPr>
              <w:t>By Overnight Courier:</w:t>
            </w:r>
          </w:p>
        </w:tc>
        <w:tc>
          <w:tcPr>
            <w:tcW w:w="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8"/>
        </w:trPr>
        <w:tc>
          <w:tcPr>
            <w:tcW w:w="400" w:type="dxa"/>
            <w:vAlign w:val="bottom"/>
          </w:tcPr>
          <w:p>
            <w:pPr>
              <w:spacing w:after="0"/>
              <w:rPr>
                <w:sz w:val="18"/>
                <w:szCs w:val="18"/>
                <w:color w:val="auto"/>
              </w:rPr>
            </w:pPr>
          </w:p>
        </w:tc>
        <w:tc>
          <w:tcPr>
            <w:tcW w:w="29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Citibank, N.A.</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rPr>
              <w:t>Citibank, N.A.</w:t>
            </w:r>
          </w:p>
        </w:tc>
        <w:tc>
          <w:tcPr>
            <w:tcW w:w="4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9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c/o Voluntary Corporate Actions</w:t>
            </w:r>
          </w:p>
        </w:tc>
        <w:tc>
          <w:tcPr>
            <w:tcW w:w="1520" w:type="dxa"/>
            <w:vAlign w:val="bottom"/>
          </w:tcPr>
          <w:p>
            <w:pPr>
              <w:spacing w:after="0"/>
              <w:rPr>
                <w:sz w:val="18"/>
                <w:szCs w:val="18"/>
                <w:color w:val="auto"/>
              </w:rPr>
            </w:pPr>
          </w:p>
        </w:tc>
        <w:tc>
          <w:tcPr>
            <w:tcW w:w="2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c/o Voluntary Corporate Actions</w:t>
            </w:r>
          </w:p>
        </w:tc>
        <w:tc>
          <w:tcPr>
            <w:tcW w:w="4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9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P.O. Box 43011</w:t>
            </w:r>
          </w:p>
        </w:tc>
        <w:tc>
          <w:tcPr>
            <w:tcW w:w="1520" w:type="dxa"/>
            <w:vAlign w:val="bottom"/>
          </w:tcPr>
          <w:p>
            <w:pPr>
              <w:spacing w:after="0"/>
              <w:rPr>
                <w:sz w:val="18"/>
                <w:szCs w:val="18"/>
                <w:color w:val="auto"/>
              </w:rPr>
            </w:pPr>
          </w:p>
        </w:tc>
        <w:tc>
          <w:tcPr>
            <w:tcW w:w="2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150 Royall Street, Suite V</w:t>
            </w:r>
          </w:p>
        </w:tc>
        <w:tc>
          <w:tcPr>
            <w:tcW w:w="46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29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Providence, RI 02940-3011</w:t>
            </w: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Canton, MA 02021</w:t>
            </w:r>
          </w:p>
        </w:tc>
        <w:tc>
          <w:tcPr>
            <w:tcW w:w="460" w:type="dxa"/>
            <w:vAlign w:val="bottom"/>
          </w:tcPr>
          <w:p>
            <w:pPr>
              <w:spacing w:after="0"/>
              <w:rPr>
                <w:sz w:val="20"/>
                <w:szCs w:val="20"/>
                <w:color w:val="auto"/>
              </w:rPr>
            </w:pPr>
          </w:p>
        </w:tc>
      </w:tr>
      <w:tr>
        <w:trPr>
          <w:trHeight w:val="346"/>
        </w:trPr>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For Information:</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2"/>
        </w:trPr>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Georgeson LLC</w:t>
            </w:r>
          </w:p>
        </w:tc>
        <w:tc>
          <w:tcPr>
            <w:tcW w:w="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ind w:left="4520" w:right="4260" w:hanging="294"/>
        <w:spacing w:after="0" w:line="223" w:lineRule="auto"/>
        <w:tabs>
          <w:tab w:leader="none" w:pos="44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10019</w:t>
      </w:r>
    </w:p>
    <w:p>
      <w:pPr>
        <w:jc w:val="right"/>
        <w:ind w:right="3900"/>
        <w:spacing w:after="0" w:line="238" w:lineRule="auto"/>
        <w:rPr>
          <w:sz w:val="20"/>
          <w:szCs w:val="20"/>
          <w:color w:val="auto"/>
        </w:rPr>
      </w:pPr>
      <w:r>
        <w:rPr>
          <w:rFonts w:ascii="Times New Roman" w:cs="Times New Roman" w:eastAsia="Times New Roman" w:hAnsi="Times New Roman"/>
          <w:sz w:val="18"/>
          <w:szCs w:val="18"/>
          <w:color w:val="auto"/>
        </w:rPr>
        <w:t>Call U.S. Toll-Free: +1 (866) 585-6991</w:t>
      </w:r>
    </w:p>
    <w:p>
      <w:pPr>
        <w:jc w:val="right"/>
        <w:ind w:right="3940"/>
        <w:spacing w:after="0"/>
        <w:rPr>
          <w:sz w:val="20"/>
          <w:szCs w:val="20"/>
          <w:color w:val="auto"/>
        </w:rPr>
      </w:pPr>
      <w:r>
        <w:rPr>
          <w:rFonts w:ascii="Times New Roman" w:cs="Times New Roman" w:eastAsia="Times New Roman" w:hAnsi="Times New Roman"/>
          <w:sz w:val="18"/>
          <w:szCs w:val="18"/>
          <w:color w:val="auto"/>
        </w:rPr>
        <w:t>Call International: +1 (518) 861-3759</w:t>
      </w:r>
    </w:p>
    <w:p>
      <w:pPr>
        <w:spacing w:after="0" w:line="124" w:lineRule="exact"/>
        <w:rPr>
          <w:sz w:val="20"/>
          <w:szCs w:val="20"/>
          <w:color w:val="auto"/>
        </w:rPr>
      </w:pPr>
    </w:p>
    <w:p>
      <w:pPr>
        <w:ind w:left="1260" w:right="1460" w:firstLine="360"/>
        <w:spacing w:after="0" w:line="266" w:lineRule="auto"/>
        <w:rPr>
          <w:sz w:val="20"/>
          <w:szCs w:val="20"/>
          <w:color w:val="auto"/>
        </w:rPr>
      </w:pPr>
      <w:r>
        <w:rPr>
          <w:rFonts w:ascii="Times New Roman" w:cs="Times New Roman" w:eastAsia="Times New Roman" w:hAnsi="Times New Roman"/>
          <w:sz w:val="18"/>
          <w:szCs w:val="18"/>
          <w:color w:val="auto"/>
        </w:rPr>
        <w:t>Pursuant to the Offer to Purchase, the undersigned tenders the following ADSs of Moatable, Inc. (the “Company”):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280" w:type="dxa"/>
            <w:vAlign w:val="bottom"/>
            <w:tcBorders>
              <w:right w:val="single" w:sz="8" w:color="auto"/>
            </w:tcBorders>
          </w:tcPr>
          <w:p>
            <w:pPr>
              <w:spacing w:after="0"/>
              <w:rPr>
                <w:sz w:val="24"/>
                <w:szCs w:val="24"/>
                <w:color w:val="auto"/>
              </w:rPr>
            </w:pPr>
          </w:p>
        </w:tc>
        <w:tc>
          <w:tcPr>
            <w:tcW w:w="2540" w:type="dxa"/>
            <w:vAlign w:val="bottom"/>
            <w:tcBorders>
              <w:top w:val="single" w:sz="8" w:color="auto"/>
              <w:bottom w:val="single" w:sz="8" w:color="auto"/>
            </w:tcBorders>
            <w:gridSpan w:val="2"/>
          </w:tcPr>
          <w:p>
            <w:pPr>
              <w:spacing w:after="0" w:line="324" w:lineRule="exact"/>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ITEM A:</w:t>
            </w:r>
          </w:p>
        </w:tc>
        <w:tc>
          <w:tcPr>
            <w:tcW w:w="3620" w:type="dxa"/>
            <w:vAlign w:val="bottom"/>
            <w:tcBorders>
              <w:top w:val="single" w:sz="8" w:color="auto"/>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ADSs TENDERED</w:t>
            </w:r>
          </w:p>
        </w:tc>
        <w:tc>
          <w:tcPr>
            <w:tcW w:w="15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4"/>
                <w:szCs w:val="24"/>
                <w:color w:val="auto"/>
              </w:rPr>
            </w:pPr>
          </w:p>
        </w:tc>
      </w:tr>
      <w:tr>
        <w:trPr>
          <w:trHeight w:val="187"/>
        </w:trPr>
        <w:tc>
          <w:tcPr>
            <w:tcW w:w="1280" w:type="dxa"/>
            <w:vAlign w:val="bottom"/>
            <w:tcBorders>
              <w:right w:val="single" w:sz="8" w:color="auto"/>
            </w:tcBorders>
          </w:tcPr>
          <w:p>
            <w:pPr>
              <w:spacing w:after="0"/>
              <w:rPr>
                <w:sz w:val="16"/>
                <w:szCs w:val="16"/>
                <w:color w:val="auto"/>
              </w:rPr>
            </w:pPr>
          </w:p>
        </w:tc>
        <w:tc>
          <w:tcPr>
            <w:tcW w:w="254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  Names(s) and Address(es) of</w:t>
            </w:r>
          </w:p>
        </w:tc>
        <w:tc>
          <w:tcPr>
            <w:tcW w:w="200" w:type="dxa"/>
            <w:vAlign w:val="bottom"/>
            <w:tcBorders>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spacing w:after="0"/>
              <w:rPr>
                <w:sz w:val="16"/>
                <w:szCs w:val="16"/>
                <w:color w:val="auto"/>
              </w:rPr>
            </w:pPr>
          </w:p>
        </w:tc>
        <w:tc>
          <w:tcPr>
            <w:tcW w:w="132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3"/>
              </w:rPr>
              <w:t>ADSs Tendered</w:t>
            </w:r>
          </w:p>
        </w:tc>
        <w:tc>
          <w:tcPr>
            <w:tcW w:w="1520" w:type="dxa"/>
            <w:vAlign w:val="bottom"/>
          </w:tcPr>
          <w:p>
            <w:pPr>
              <w:spacing w:after="0"/>
              <w:rPr>
                <w:sz w:val="16"/>
                <w:szCs w:val="16"/>
                <w:color w:val="auto"/>
              </w:rPr>
            </w:pPr>
          </w:p>
        </w:tc>
        <w:tc>
          <w:tcPr>
            <w:tcW w:w="520" w:type="dxa"/>
            <w:vAlign w:val="bottom"/>
            <w:tcBorders>
              <w:right w:val="single" w:sz="8" w:color="auto"/>
            </w:tcBorders>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16"/>
                <w:szCs w:val="16"/>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Registered ADS Holder(s)*</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(Attach additional signed list if necessary)</w:t>
            </w:r>
          </w:p>
        </w:tc>
        <w:tc>
          <w:tcPr>
            <w:tcW w:w="52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1"/>
        </w:trPr>
        <w:tc>
          <w:tcPr>
            <w:tcW w:w="1280" w:type="dxa"/>
            <w:vAlign w:val="bottom"/>
            <w:tcBorders>
              <w:right w:val="single" w:sz="8" w:color="auto"/>
            </w:tcBorders>
          </w:tcPr>
          <w:p>
            <w:pPr>
              <w:spacing w:after="0"/>
              <w:rPr>
                <w:sz w:val="17"/>
                <w:szCs w:val="17"/>
                <w:color w:val="auto"/>
              </w:rPr>
            </w:pPr>
          </w:p>
        </w:tc>
        <w:tc>
          <w:tcPr>
            <w:tcW w:w="2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3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spacing w:after="0"/>
              <w:rPr>
                <w:sz w:val="17"/>
                <w:szCs w:val="17"/>
                <w:color w:val="auto"/>
              </w:rPr>
            </w:pPr>
          </w:p>
        </w:tc>
        <w:tc>
          <w:tcPr>
            <w:tcW w:w="620" w:type="dxa"/>
            <w:vAlign w:val="bottom"/>
            <w:tcBorders>
              <w:right w:val="single" w:sz="8" w:color="auto"/>
            </w:tcBorders>
          </w:tcPr>
          <w:p>
            <w:pPr>
              <w:jc w:val="center"/>
              <w:ind w:left="43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ind w:left="320"/>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520" w:type="dxa"/>
            <w:vAlign w:val="bottom"/>
            <w:tcBorders>
              <w:right w:val="single" w:sz="8" w:color="auto"/>
            </w:tcBorders>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17"/>
                <w:szCs w:val="17"/>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ADSs held in</w:t>
            </w:r>
          </w:p>
        </w:tc>
        <w:tc>
          <w:tcPr>
            <w:tcW w:w="700" w:type="dxa"/>
            <w:vAlign w:val="bottom"/>
          </w:tcPr>
          <w:p>
            <w:pPr>
              <w:spacing w:after="0"/>
              <w:rPr>
                <w:sz w:val="18"/>
                <w:szCs w:val="18"/>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of ADSs</w:t>
            </w:r>
          </w:p>
        </w:tc>
        <w:tc>
          <w:tcPr>
            <w:tcW w:w="52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5"/>
              </w:rPr>
              <w:t>Book-Entry Form**</w:t>
            </w:r>
          </w:p>
        </w:tc>
        <w:tc>
          <w:tcPr>
            <w:tcW w:w="620" w:type="dxa"/>
            <w:vAlign w:val="bottom"/>
            <w:tcBorders>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Tendered***</w:t>
            </w:r>
          </w:p>
        </w:tc>
        <w:tc>
          <w:tcPr>
            <w:tcW w:w="52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0"/>
                <w:szCs w:val="20"/>
                <w:color w:val="auto"/>
              </w:rPr>
            </w:pPr>
          </w:p>
        </w:tc>
      </w:tr>
      <w:tr>
        <w:trPr>
          <w:trHeight w:val="40"/>
        </w:trPr>
        <w:tc>
          <w:tcPr>
            <w:tcW w:w="12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0"/>
                <w:szCs w:val="20"/>
                <w:color w:val="auto"/>
              </w:rPr>
            </w:pPr>
          </w:p>
        </w:tc>
      </w:tr>
      <w:tr>
        <w:trPr>
          <w:trHeight w:val="40"/>
        </w:trPr>
        <w:tc>
          <w:tcPr>
            <w:tcW w:w="12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0"/>
                <w:szCs w:val="20"/>
                <w:color w:val="auto"/>
              </w:rPr>
            </w:pPr>
          </w:p>
        </w:tc>
      </w:tr>
      <w:tr>
        <w:trPr>
          <w:trHeight w:val="41"/>
        </w:trPr>
        <w:tc>
          <w:tcPr>
            <w:tcW w:w="12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0"/>
                <w:szCs w:val="20"/>
                <w:color w:val="auto"/>
              </w:rPr>
            </w:pPr>
          </w:p>
        </w:tc>
      </w:tr>
      <w:tr>
        <w:trPr>
          <w:trHeight w:val="41"/>
        </w:trPr>
        <w:tc>
          <w:tcPr>
            <w:tcW w:w="12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0"/>
                <w:szCs w:val="20"/>
                <w:color w:val="auto"/>
              </w:rPr>
            </w:pPr>
          </w:p>
        </w:tc>
      </w:tr>
      <w:tr>
        <w:trPr>
          <w:trHeight w:val="41"/>
        </w:trPr>
        <w:tc>
          <w:tcPr>
            <w:tcW w:w="12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4"/>
              </w:rPr>
              <w:t>Total ADSs</w:t>
            </w:r>
          </w:p>
        </w:tc>
        <w:tc>
          <w:tcPr>
            <w:tcW w:w="620" w:type="dxa"/>
            <w:vAlign w:val="bottom"/>
            <w:tcBorders>
              <w:right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0"/>
                <w:szCs w:val="20"/>
                <w:color w:val="auto"/>
              </w:rPr>
            </w:pPr>
          </w:p>
        </w:tc>
      </w:tr>
      <w:tr>
        <w:trPr>
          <w:trHeight w:val="54"/>
        </w:trPr>
        <w:tc>
          <w:tcPr>
            <w:tcW w:w="1280" w:type="dxa"/>
            <w:vAlign w:val="bottom"/>
            <w:tcBorders>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1240" w:type="dxa"/>
            <w:vAlign w:val="bottom"/>
          </w:tcPr>
          <w:p>
            <w:pPr>
              <w:spacing w:after="0"/>
              <w:rPr>
                <w:sz w:val="4"/>
                <w:szCs w:val="4"/>
                <w:color w:val="auto"/>
              </w:rPr>
            </w:pPr>
          </w:p>
        </w:tc>
      </w:tr>
      <w:tr>
        <w:trPr>
          <w:trHeight w:val="959"/>
        </w:trPr>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24"/>
        </w:trPr>
        <w:tc>
          <w:tcPr>
            <w:tcW w:w="2560" w:type="dxa"/>
            <w:vAlign w:val="bottom"/>
            <w:tcBorders>
              <w:top w:val="single" w:sz="8" w:color="auto"/>
              <w:left w:val="single" w:sz="8" w:color="auto"/>
              <w:bottom w:val="single" w:sz="8" w:color="auto"/>
            </w:tcBorders>
            <w:gridSpan w:val="2"/>
          </w:tcPr>
          <w:p>
            <w:pPr>
              <w:ind w:left="20"/>
              <w:spacing w:after="0" w:line="324" w:lineRule="exact"/>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ITEM A:</w:t>
            </w:r>
          </w:p>
        </w:tc>
        <w:tc>
          <w:tcPr>
            <w:tcW w:w="3620" w:type="dxa"/>
            <w:vAlign w:val="bottom"/>
            <w:tcBorders>
              <w:top w:val="single" w:sz="8" w:color="auto"/>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ADSs TENDERED</w:t>
            </w:r>
          </w:p>
        </w:tc>
        <w:tc>
          <w:tcPr>
            <w:tcW w:w="15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1"/>
        </w:trPr>
        <w:tc>
          <w:tcPr>
            <w:tcW w:w="2560" w:type="dxa"/>
            <w:vAlign w:val="bottom"/>
            <w:tcBorders>
              <w:left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  Names(s) and Address(es) of</w:t>
            </w:r>
          </w:p>
        </w:tc>
        <w:tc>
          <w:tcPr>
            <w:tcW w:w="200" w:type="dxa"/>
            <w:vAlign w:val="bottom"/>
            <w:tcBorders>
              <w:right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3280" w:type="dxa"/>
            <w:vAlign w:val="bottom"/>
            <w:gridSpan w:val="2"/>
          </w:tcPr>
          <w:p>
            <w:pPr>
              <w:jc w:val="center"/>
              <w:ind w:left="1730"/>
              <w:spacing w:after="0" w:line="201" w:lineRule="exact"/>
              <w:rPr>
                <w:sz w:val="20"/>
                <w:szCs w:val="20"/>
                <w:color w:val="auto"/>
              </w:rPr>
            </w:pPr>
            <w:r>
              <w:rPr>
                <w:rFonts w:ascii="Times New Roman" w:cs="Times New Roman" w:eastAsia="Times New Roman" w:hAnsi="Times New Roman"/>
                <w:sz w:val="18"/>
                <w:szCs w:val="18"/>
                <w:b w:val="1"/>
                <w:bCs w:val="1"/>
                <w:color w:val="auto"/>
                <w:w w:val="93"/>
              </w:rPr>
              <w:t>ADSs Tendered</w:t>
            </w:r>
          </w:p>
        </w:tc>
        <w:tc>
          <w:tcPr>
            <w:tcW w:w="1520" w:type="dxa"/>
            <w:vAlign w:val="bottom"/>
          </w:tcPr>
          <w:p>
            <w:pPr>
              <w:spacing w:after="0"/>
              <w:rPr>
                <w:sz w:val="17"/>
                <w:szCs w:val="17"/>
                <w:color w:val="auto"/>
              </w:rPr>
            </w:pPr>
          </w:p>
        </w:tc>
        <w:tc>
          <w:tcPr>
            <w:tcW w:w="520" w:type="dxa"/>
            <w:vAlign w:val="bottom"/>
            <w:tcBorders>
              <w:right w:val="single" w:sz="8" w:color="auto"/>
            </w:tcBorders>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40" w:type="dxa"/>
            <w:vAlign w:val="bottom"/>
            <w:tcBorders>
              <w:left w:val="single" w:sz="8" w:color="auto"/>
            </w:tcBorders>
          </w:tcPr>
          <w:p>
            <w:pPr>
              <w:spacing w:after="0"/>
              <w:rPr>
                <w:sz w:val="20"/>
                <w:szCs w:val="20"/>
                <w:color w:val="auto"/>
              </w:rPr>
            </w:pPr>
          </w:p>
        </w:tc>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Registered Holder(s)*</w:t>
            </w: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5"/>
              </w:rPr>
              <w:t>(Attach additional signed list if necessary)</w:t>
            </w:r>
          </w:p>
        </w:tc>
        <w:tc>
          <w:tcPr>
            <w:tcW w:w="520" w:type="dxa"/>
            <w:vAlign w:val="bottom"/>
            <w:tcBorders>
              <w:right w:val="single" w:sz="8" w:color="auto"/>
            </w:tcBorders>
          </w:tcPr>
          <w:p>
            <w:pPr>
              <w:spacing w:after="0"/>
              <w:rPr>
                <w:sz w:val="20"/>
                <w:szCs w:val="20"/>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01"/>
        </w:trPr>
        <w:tc>
          <w:tcPr>
            <w:tcW w:w="340" w:type="dxa"/>
            <w:vAlign w:val="bottom"/>
            <w:tcBorders>
              <w:left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580" w:type="dxa"/>
            <w:vAlign w:val="bottom"/>
            <w:tcBorders>
              <w:right w:val="single" w:sz="8" w:color="auto"/>
            </w:tcBorders>
          </w:tcPr>
          <w:p>
            <w:pPr>
              <w:jc w:val="center"/>
              <w:ind w:left="239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ind w:right="170"/>
              <w:spacing w:after="0" w:line="201" w:lineRule="exact"/>
              <w:rPr>
                <w:sz w:val="20"/>
                <w:szCs w:val="20"/>
                <w:color w:val="auto"/>
              </w:rPr>
            </w:pPr>
            <w:r>
              <w:rPr>
                <w:rFonts w:ascii="Times New Roman" w:cs="Times New Roman" w:eastAsia="Times New Roman" w:hAnsi="Times New Roman"/>
                <w:sz w:val="18"/>
                <w:szCs w:val="18"/>
                <w:b w:val="1"/>
                <w:bCs w:val="1"/>
                <w:color w:val="auto"/>
                <w:w w:val="96"/>
              </w:rPr>
              <w:t>Number</w:t>
            </w:r>
          </w:p>
        </w:tc>
        <w:tc>
          <w:tcPr>
            <w:tcW w:w="520" w:type="dxa"/>
            <w:vAlign w:val="bottom"/>
            <w:tcBorders>
              <w:right w:val="single" w:sz="8" w:color="auto"/>
            </w:tcBorders>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40" w:type="dxa"/>
            <w:vAlign w:val="bottom"/>
            <w:tcBorders>
              <w:left w:val="single" w:sz="8" w:color="auto"/>
            </w:tcBorders>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Total Number of ADSs held in</w:t>
            </w:r>
          </w:p>
        </w:tc>
        <w:tc>
          <w:tcPr>
            <w:tcW w:w="70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5"/>
              </w:rPr>
              <w:t>of ADSs</w:t>
            </w:r>
          </w:p>
        </w:tc>
        <w:tc>
          <w:tcPr>
            <w:tcW w:w="520" w:type="dxa"/>
            <w:vAlign w:val="bottom"/>
            <w:tcBorders>
              <w:right w:val="single" w:sz="8" w:color="auto"/>
            </w:tcBorders>
          </w:tcPr>
          <w:p>
            <w:pPr>
              <w:spacing w:after="0"/>
              <w:rPr>
                <w:sz w:val="18"/>
                <w:szCs w:val="18"/>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22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Book-Entry Form**</w:t>
            </w:r>
          </w:p>
        </w:tc>
        <w:tc>
          <w:tcPr>
            <w:tcW w:w="70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Tendered***</w:t>
            </w:r>
          </w:p>
        </w:tc>
        <w:tc>
          <w:tcPr>
            <w:tcW w:w="520" w:type="dxa"/>
            <w:vAlign w:val="bottom"/>
            <w:tcBorders>
              <w:right w:val="single" w:sz="8" w:color="auto"/>
            </w:tcBorders>
          </w:tcPr>
          <w:p>
            <w:pPr>
              <w:spacing w:after="0"/>
              <w:rPr>
                <w:sz w:val="20"/>
                <w:szCs w:val="20"/>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ind w:left="1620" w:right="499" w:hanging="360"/>
        <w:spacing w:after="0" w:line="250"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ADS holders who hold their ADSs in book-entry form on the books and records of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the name of the Registered Holder must be exactly as it appears on the books and records of the Depositary.</w:t>
      </w:r>
    </w:p>
    <w:p>
      <w:pPr>
        <w:spacing w:after="0" w:line="1" w:lineRule="exact"/>
        <w:rPr>
          <w:sz w:val="20"/>
          <w:szCs w:val="20"/>
          <w:color w:val="auto"/>
        </w:rPr>
      </w:pPr>
    </w:p>
    <w:p>
      <w:pPr>
        <w:ind w:left="1620" w:right="539" w:hanging="360"/>
        <w:spacing w:after="0" w:line="250"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 ADSs that are held in book-entry form on the books and records of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Do NOT include any ADSs to be transferred by means of the DTC book-entry system.</w:t>
      </w:r>
    </w:p>
    <w:p>
      <w:pPr>
        <w:ind w:left="1620" w:right="619" w:hanging="360"/>
        <w:spacing w:after="0" w:line="260"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ADSs described above are being tendered. See Instruction 4.</w:t>
      </w:r>
    </w:p>
    <w:p>
      <w:pPr>
        <w:spacing w:after="0" w:line="110" w:lineRule="exact"/>
        <w:rPr>
          <w:sz w:val="20"/>
          <w:szCs w:val="20"/>
          <w:color w:val="auto"/>
        </w:rPr>
      </w:pPr>
    </w:p>
    <w:p>
      <w:pPr>
        <w:jc w:val="both"/>
        <w:ind w:left="1260" w:right="47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Please fill in all applicable blanks, follow all instructions carefully and sign this Letter of Transmittal in the appropriate space provided below. The Letter of Transmittal and IRS Form W-9 (or an appropriate IRS Form W-8, as applicable), must be delivered to the Tender Agent at one of the addresses set forth above.</w:t>
      </w:r>
    </w:p>
    <w:p>
      <w:pPr>
        <w:spacing w:after="0" w:line="85" w:lineRule="exact"/>
        <w:rPr>
          <w:sz w:val="20"/>
          <w:szCs w:val="20"/>
          <w:color w:val="auto"/>
        </w:rPr>
      </w:pPr>
    </w:p>
    <w:p>
      <w:pPr>
        <w:ind w:left="1260" w:right="39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DELIVERY OF THIS LETTER OF TRANSMITTAL OR OTHER DOCUMENTS TO AN ADDRESS OTHER THAN AS SET FORTH BELOW DOES NOT CONSTITUTE VALID DELIVERY. DELIVERIES TO THE COMPANY WILL NOT BE FORWARDED TO THE TENDER AGENT AND THEREFORE WILL NOT CONSTITUTE VALID DELIVERY. DELIVERIES TO THE DEPOSITORY TRUST COMPANY (“DTC”) WILL NOT CONSTITUTE VALID DELIVERY TO THE TENDER AGENT.</w:t>
      </w:r>
    </w:p>
    <w:p>
      <w:pPr>
        <w:spacing w:after="0" w:line="16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READ THE INSTRUCTIONS CAREFULLY BEFORE</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COMPLETING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4519295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YOU MUST SIGN THIS LETTER OF TRANSMITTAL WHERE INDICATED BELOW AND</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COMPLETE THE IRS FORM W-9 OR, IF APPROPRIATE, IRS FORM W-8.</w:t>
      </w:r>
    </w:p>
    <w:p>
      <w:pPr>
        <w:spacing w:after="0" w:line="13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This Letter of Transmittal (together with any amendments and supplements thereto, this “Letter of Transmittal”) is to be used for delivery of American Depositary Shares, including those American Depositary Shares subject to transfer restrictions (collectively, the “ADSs”), each representing 45 Class A ordinary shares, par value $0.001 per share, of Moatable, Inc. (the “Company,” “we,” “us” or “our”) pursuant to the procedures set forth in Section 3 of the Offer to Purchase dated September 3, 2025 (together with any amendments or supplements thereto, the “Offer to Purchase,” and together with this Letter of Transmittal and other related materials, as each may be amended or supplemented from time to time, the “Offer”).</w:t>
      </w:r>
    </w:p>
    <w:p>
      <w:pPr>
        <w:spacing w:after="0" w:line="337"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Tendering securityholders must timely deliver all documents required by this Letter of Transmittal to the Tender Agent by 12:00 midnight, New York City time, at the end of the day on September 30, 2025, unless we extend or terminate the Offer (such date and time, as they may be extended, the “Expiration Time”). When used together with a specific time, the term Expiration Time refers to the date on which the Offer expires. All capitalized terms not otherwise defined herein have the meaning ascribed to them in the Offer to Purchase.</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attention is directed in particular to the following:</w:t>
      </w:r>
    </w:p>
    <w:p>
      <w:pPr>
        <w:spacing w:after="0" w:line="158" w:lineRule="exact"/>
        <w:rPr>
          <w:sz w:val="20"/>
          <w:szCs w:val="20"/>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wish to retain ADSs you own, you do not need to take any action.</w:t>
      </w:r>
    </w:p>
    <w:p>
      <w:pPr>
        <w:spacing w:after="0" w:line="157" w:lineRule="exact"/>
        <w:rPr>
          <w:rFonts w:ascii="Times New Roman" w:cs="Times New Roman" w:eastAsia="Times New Roman" w:hAnsi="Times New Roman"/>
          <w:sz w:val="18"/>
          <w:szCs w:val="18"/>
          <w:b w:val="1"/>
          <w:bCs w:val="1"/>
          <w:color w:val="auto"/>
        </w:rPr>
      </w:pPr>
    </w:p>
    <w:p>
      <w:pPr>
        <w:ind w:left="1980" w:right="1219" w:hanging="360"/>
        <w:spacing w:after="0" w:line="282" w:lineRule="auto"/>
        <w:tabs>
          <w:tab w:leader="none" w:pos="1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will be $3.00/45 per Class A Ordinary Share (or $3.00 per ADS) (the “Purchase Price”).</w:t>
      </w:r>
    </w:p>
    <w:p>
      <w:pPr>
        <w:spacing w:after="0" w:line="8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tender of the ADSs is not effective until the Tender Agent is deemed to have received the ADSs reflected on this Letter of Transmittal which must be properly completed and duly executed, together with all accompanying evidence(s) of authority in a form satisfactory to the Company and any other required documents.</w:t>
      </w:r>
    </w:p>
    <w:p>
      <w:pPr>
        <w:spacing w:after="0" w:line="17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ODD LOTS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(SEE INSTRUCTION 10)</w:t>
      </w:r>
    </w:p>
    <w:p>
      <w:pPr>
        <w:spacing w:after="0" w:line="1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As described in the Supplemental Notice, dated September 12, 2025, under certain conditions, holders of a total of fewer than 100 Class A Ordinary Shares (including Class A Ordinary Shares represented by ADSs) may have their tendered ADSs accepted for payment before any proration of other Class A Ordinary Shares (including Class A Ordinary Shares represented by ADSs). This preference is not available to partial tenders or registered holders or beneficial owners of 100 or more Class A Ordinary Shares (including Class A Ordinary Shares represented by ADSs) in the aggregate, even if these holders have separate accounts or certificates representing fewer than 100 Class A Ordinary Shares (including Class A Ordinary Shares represented by ADSs). </w:t>
      </w:r>
      <w:r>
        <w:rPr>
          <w:rFonts w:ascii="Times New Roman" w:cs="Times New Roman" w:eastAsia="Times New Roman" w:hAnsi="Times New Roman"/>
          <w:sz w:val="18"/>
          <w:szCs w:val="18"/>
          <w:b w:val="1"/>
          <w:bCs w:val="1"/>
          <w:color w:val="auto"/>
        </w:rPr>
        <w:t>Accordingly, this section is to be completed only if ADSs are being tendered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on behalf of a person who held or beneficially owned, as of the close of business on the date set forth on the signature page hereto, and who continues to hold or beneficially own, as of the Expiration Time, an aggregate of less than 100 Class A Ordinary Shares (including Class A Ordinary Shares represented by ADSs).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undersigned either (check one box):</w:t>
      </w:r>
    </w:p>
    <w:p>
      <w:pPr>
        <w:spacing w:after="0" w:line="122" w:lineRule="exact"/>
        <w:rPr>
          <w:sz w:val="20"/>
          <w:szCs w:val="20"/>
          <w:color w:val="auto"/>
        </w:rPr>
      </w:pPr>
    </w:p>
    <w:p>
      <w:pPr>
        <w:ind w:left="1260" w:right="819" w:firstLine="360"/>
        <w:spacing w:after="0" w:line="282" w:lineRule="auto"/>
        <w:tabs>
          <w:tab w:leader="none" w:pos="1931"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held or beneficially owned an aggregate of fewer than 100 Class A Ordinary Shares (including Class A Ordinary Shares represented by ADSs), all of which are being tendered; or</w:t>
      </w:r>
    </w:p>
    <w:p>
      <w:pPr>
        <w:spacing w:after="0" w:line="80" w:lineRule="exact"/>
        <w:rPr>
          <w:rFonts w:ascii="MS PGothic" w:cs="MS PGothic" w:eastAsia="MS PGothic" w:hAnsi="MS PGothic"/>
          <w:sz w:val="18"/>
          <w:szCs w:val="18"/>
          <w:color w:val="auto"/>
        </w:rPr>
      </w:pPr>
    </w:p>
    <w:p>
      <w:pPr>
        <w:ind w:left="1260" w:right="459" w:firstLine="360"/>
        <w:spacing w:after="0" w:line="258" w:lineRule="auto"/>
        <w:tabs>
          <w:tab w:leader="none" w:pos="1931"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a broker, dealer, commercial bank, trust company or other nominee that (i) is tendering on behalf of a person who held or beneficially owned ADSs and (ii) believes, based upon representations made to it, that such person held or beneficially owned an aggregate of fewer than 100 Class A Ordinary Shares (including Class A Ordinary Shares represented by ADSs) and is tendering all of such Class A Ordinary Shares (including Class A Ordinary Shares represented by ADSs).</w:t>
      </w:r>
    </w:p>
    <w:p>
      <w:pPr>
        <w:spacing w:after="0" w:line="179"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color w:val="auto"/>
        </w:rPr>
        <w:t>NOTE: SIGNATURES MUST BE PROVIDED WHERE INDICATED BELOW. PLEASE READ THE ACCOMPANYING INSTRUCTIONS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571500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The undersigned hereby tenders to Moatable, Inc., an exempted company incorporated with limited liability under the laws of the Cayman Islands (the “Company,” “we,” “us” or “our”), the above-described ADSs, each representing 45 Class A ordinary shares, par value $0.001 per share, at the price per ADS indicated in this Letter of Transmittal, net to the seller in cash, less a cash distribution fee of $0.05 per tendered ADS accepted for purchase in the Offer that will be paid to Citibank, N.A., the Company’s ADS depositary (the “ADSs Depositary”), less any applicable withholding taxes, and without interest, upon the terms and subject to the conditions set forth in the Company’s Offer to Purchase, dated September 3, 2025 (together with any amendments or supplements thereto, including the Supplemental Notice, dated September 12, 2025, the “Offer to Purchase”), this Letter of Transmittal (together with any amendments or supplements thereto, this “Letter of Transmittal”) and other related materials as may be amended or supplemented from time to time (collectively, with the Offer to Purchase and this Letter of Transmittal, the “Offer”), receipt of which is hereby acknowledged.</w:t>
      </w:r>
    </w:p>
    <w:p>
      <w:pPr>
        <w:spacing w:after="0" w:line="11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Subject to and effective on acceptance for payment of, and payment for, ADSs tendered pursuant to this Letter of Transmittal in accordance with the terms and subject to the conditions of the Offer, the undersigned hereby agrees to sell, assign and transfer to the Company, or upon the order of the Company will sell, assign and transfer to the Company, all right, title and interest in and to all ADSs that are being tendered hereby, to the full extent of the undersigned’s rights with respect to such tendered ADSs to:</w:t>
      </w:r>
    </w:p>
    <w:p>
      <w:pPr>
        <w:spacing w:after="0" w:line="114" w:lineRule="exact"/>
        <w:rPr>
          <w:sz w:val="20"/>
          <w:szCs w:val="20"/>
          <w:color w:val="auto"/>
        </w:rPr>
      </w:pPr>
    </w:p>
    <w:p>
      <w:pPr>
        <w:ind w:left="2300" w:hanging="320"/>
        <w:spacing w:after="0"/>
        <w:tabs>
          <w:tab w:leader="none" w:pos="2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present such tendered ADSs for transfer on the Depositary’s books;</w:t>
      </w:r>
    </w:p>
    <w:p>
      <w:pPr>
        <w:spacing w:after="0" w:line="157" w:lineRule="exact"/>
        <w:rPr>
          <w:rFonts w:ascii="Times New Roman" w:cs="Times New Roman" w:eastAsia="Times New Roman" w:hAnsi="Times New Roman"/>
          <w:sz w:val="18"/>
          <w:szCs w:val="18"/>
          <w:b w:val="1"/>
          <w:bCs w:val="1"/>
          <w:color w:val="auto"/>
        </w:rPr>
      </w:pPr>
    </w:p>
    <w:p>
      <w:pPr>
        <w:ind w:left="1620" w:right="439" w:firstLine="360"/>
        <w:spacing w:after="0" w:line="242" w:lineRule="auto"/>
        <w:tabs>
          <w:tab w:leader="none" w:pos="229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 ownership of such tendered ADSs into the account books maintained by The Depository Trust Company (which, in the Offer, is called the “Book-Entry Transfer Facility”), together, in any such case, with all accompanying evidence of transfer and authenticity to, or upon the order of, the Company upon receipt by Citibank, N.A., the tender agent for the Offer (the “Tender Agent”) of the aggregate purchase price (less any applicable withholding taxes, less a cash distribution fee of $0.05 per ADS accepted for purchase in the Offer that will be paid to Citibank, N.A., without interest) with respect to such tendered ADSs;</w:t>
      </w:r>
    </w:p>
    <w:p>
      <w:pPr>
        <w:spacing w:after="0" w:line="1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w:t>
      </w:r>
    </w:p>
    <w:p>
      <w:pPr>
        <w:spacing w:after="0" w:line="158" w:lineRule="exact"/>
        <w:rPr>
          <w:sz w:val="20"/>
          <w:szCs w:val="20"/>
          <w:color w:val="auto"/>
        </w:rPr>
      </w:pPr>
    </w:p>
    <w:p>
      <w:pPr>
        <w:ind w:left="1620" w:right="539" w:firstLine="360"/>
        <w:spacing w:after="0" w:line="266" w:lineRule="auto"/>
        <w:tabs>
          <w:tab w:leader="none" w:pos="229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receive all benefits and otherwise exercise all rights of beneficial ownership of such tendered ADSs, all in accordance with the terms of and subject to the conditions of the Offer.</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hereby represents and warrants that the undersigned:</w:t>
      </w:r>
    </w:p>
    <w:p>
      <w:pPr>
        <w:spacing w:after="0" w:line="158" w:lineRule="exact"/>
        <w:rPr>
          <w:sz w:val="20"/>
          <w:szCs w:val="20"/>
          <w:color w:val="auto"/>
        </w:rPr>
      </w:pPr>
    </w:p>
    <w:p>
      <w:pPr>
        <w:ind w:left="1620" w:right="579" w:firstLine="360"/>
        <w:spacing w:after="0" w:line="266" w:lineRule="auto"/>
        <w:tabs>
          <w:tab w:leader="none" w:pos="229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a “net long position” in ADSs or equivalent securities that is at least equal to the number of ADSs being tendered;</w:t>
      </w:r>
    </w:p>
    <w:p>
      <w:pPr>
        <w:spacing w:after="0" w:line="94" w:lineRule="exact"/>
        <w:rPr>
          <w:rFonts w:ascii="Times New Roman" w:cs="Times New Roman" w:eastAsia="Times New Roman" w:hAnsi="Times New Roman"/>
          <w:sz w:val="18"/>
          <w:szCs w:val="18"/>
          <w:b w:val="1"/>
          <w:bCs w:val="1"/>
          <w:color w:val="auto"/>
        </w:rPr>
      </w:pPr>
    </w:p>
    <w:p>
      <w:pPr>
        <w:ind w:left="1620" w:right="459" w:firstLine="360"/>
        <w:spacing w:after="0" w:line="250" w:lineRule="auto"/>
        <w:tabs>
          <w:tab w:leader="none" w:pos="229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full power and authority to tender, sell, assign and transfer the tendered ADSs and that, when the same are accepted for payment, the Company will acquire good title thereto, free and clear of all liens, security interests, restrictions, charges, claims, encumbrances, conditional sales agreements or other similar obligations relating to the sale or transfer of the tendered ADSs, and the same will not be subject to any adverse claim or right; and</w:t>
      </w:r>
    </w:p>
    <w:p>
      <w:pPr>
        <w:spacing w:after="0" w:line="109" w:lineRule="exact"/>
        <w:rPr>
          <w:rFonts w:ascii="Times New Roman" w:cs="Times New Roman" w:eastAsia="Times New Roman" w:hAnsi="Times New Roman"/>
          <w:sz w:val="18"/>
          <w:szCs w:val="18"/>
          <w:b w:val="1"/>
          <w:bCs w:val="1"/>
          <w:color w:val="auto"/>
        </w:rPr>
      </w:pPr>
    </w:p>
    <w:p>
      <w:pPr>
        <w:ind w:left="1620" w:right="599" w:firstLine="360"/>
        <w:spacing w:after="0" w:line="250" w:lineRule="auto"/>
        <w:tabs>
          <w:tab w:leader="none" w:pos="229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 on request by the Tender Agent or the Company, execute any additional documents deemed by the Tender Agent or the Company to be necessary or desirable to complete the sale, assignment and transfer of the tendered ADSs (and any and all such other ADSs or other securities or rights), all in accordance with the terms of and subject to the conditions of the Offer.</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All authority conferred or agreed to be conferred pursuant to this Letter of Transmittal shall be binding on the successors, assigns, heirs, personal representatives, executors, administrators and other legal representatives of the undersigned and shall not be affected by, and shall survive, the death or incapacity of the undersigned. Except as stated in the Offer to Purchase, this tender is irrevocable.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understands that:</w:t>
      </w:r>
    </w:p>
    <w:p>
      <w:pPr>
        <w:spacing w:after="0" w:line="144" w:lineRule="exact"/>
        <w:rPr>
          <w:sz w:val="20"/>
          <w:szCs w:val="20"/>
          <w:color w:val="auto"/>
        </w:rPr>
      </w:pPr>
    </w:p>
    <w:p>
      <w:pPr>
        <w:ind w:left="1620" w:right="459" w:firstLine="360"/>
        <w:spacing w:after="0" w:line="282" w:lineRule="auto"/>
        <w:tabs>
          <w:tab w:leader="none" w:pos="229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tender of ADSs properly tendered pursuant to any of the procedures described in Section 3 of the Offer to Purchase and in the instructions to this Letter of Transmittal and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555625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0" w:lineRule="auto"/>
        <w:rPr>
          <w:sz w:val="20"/>
          <w:szCs w:val="20"/>
          <w:color w:val="auto"/>
        </w:rPr>
      </w:pPr>
      <w:r>
        <w:rPr>
          <w:rFonts w:ascii="Times New Roman" w:cs="Times New Roman" w:eastAsia="Times New Roman" w:hAnsi="Times New Roman"/>
          <w:sz w:val="18"/>
          <w:szCs w:val="18"/>
          <w:color w:val="auto"/>
        </w:rPr>
        <w:t>properly withdrawn pursuant to Section 4 of the Offer to Purchase constitutes the undersigned’s acceptance of the terms and conditions of the Offer, and the Company’s acceptance for payment of the ADSs tendered pursuant to the Offer will constitute a binding agreement between the undersigned and the Company in accordance with the terms and subject to the conditions of the Offer;</w:t>
      </w:r>
    </w:p>
    <w:p>
      <w:pPr>
        <w:spacing w:after="0" w:line="110" w:lineRule="exact"/>
        <w:rPr>
          <w:sz w:val="20"/>
          <w:szCs w:val="20"/>
          <w:color w:val="auto"/>
        </w:rPr>
      </w:pPr>
    </w:p>
    <w:p>
      <w:pPr>
        <w:ind w:left="1620" w:right="439" w:firstLine="360"/>
        <w:spacing w:after="0" w:line="241" w:lineRule="auto"/>
        <w:tabs>
          <w:tab w:leader="none" w:pos="229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a violation of Rule 14e-4 promulgated under the Securities Exchange Act of 1934, as amended (“Exchange Act”), for a person, acting alone or in concert with others, directly or indirectly, to tender ADSs for such person’s own account unless, at the time of tender and at the Expiration Time (as defined in the Offer to Purchase), such person has a “net long position” in (i) the ADSs that is equal to or greater than the amount tendered, and will deliver or cause to be delivered such ADSs for the purpose of tender to the Company within the period specified in the Offer, or (ii) other securities immediately convertible into, exercisable for or exchangeable into ADSs or equivalent securities that is equal to or greater than the amount tendered and, upon the acceptance of such tender, will acquire such ADSs by conversion, exchange or exercise of such equivalent securities that is at least equal to the number of ADSs being tendered to the extent required by the terms of the Offer, and will deliver or cause to be delivered such ADSs so acquired for the purpose of tender to the Company within the period specified in the Offer. Rule 14e-4 also provides a similar restriction applicable to the tender or guarantee of a tender on behalf of another person. A tender of ADSs made pursuant to any method of delivery set forth in this Letter of Transmittal will constitute the tendering securityholder’s representation and warranty to the Company that (i) such securityholder has a “net long position” in ADSs or equivalent securities that is at least equal to the number of ADSs being tendered within the meaning of Rule 14e-4, and (ii) such tender of ADSs complies with Rule 14e-4; the Company will, upon the terms and subject to the conditions of the Offer, purchase ADSs properly tendered and not properly withdrawn at a price of $3.00 per ADS (the “Purchase Price”); upon the terms and subject to the conditions of the Offer, the Company will accept for payment up to 225,000,000 Class A Ordinary Shares (including Class A Ordinary Shares represented by ADSs) (or such greater number as we may elect to purchase, subject to applicable law). The Company may increase the number of Class A Ordinary Shares (including Class A Ordinary Shares represented by ADSs) accepted for payment in the Offer by no more than 2% of the outstanding ADSs without extending the Offer.</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also acknowledges that:</w:t>
      </w:r>
    </w:p>
    <w:p>
      <w:pPr>
        <w:spacing w:after="0" w:line="144" w:lineRule="exact"/>
        <w:rPr>
          <w:sz w:val="20"/>
          <w:szCs w:val="20"/>
          <w:color w:val="auto"/>
        </w:rPr>
      </w:pPr>
    </w:p>
    <w:p>
      <w:pPr>
        <w:ind w:left="1620" w:right="439" w:firstLine="360"/>
        <w:spacing w:after="0" w:line="246" w:lineRule="auto"/>
        <w:tabs>
          <w:tab w:leader="none" w:pos="229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reserves the right, in its sole discretion, to increase or decrease the Purchase Price and to increase or decrease the number of Class A Ordinary Shares (including Class A Ordinary Shares represented by ADSs) sought for tender in the Offer, subject to applicable law. In accordance with the rules of the Securities and Exchange Commission (the “SEC”), if more than 225,000,000 Class A Ordinary Shares (including Class A Ordinary Shares represented by ADSs) are tendered in the Offer the Company may increase the number of ADSs accepted for payment in the Offer by no more than 2% of the outstanding Class A Ordinary Shares (including Class A Ordinary Shares represented by ADSs) without extending the Offer;</w:t>
      </w:r>
    </w:p>
    <w:p>
      <w:pPr>
        <w:spacing w:after="0" w:line="111" w:lineRule="exact"/>
        <w:rPr>
          <w:rFonts w:ascii="Times New Roman" w:cs="Times New Roman" w:eastAsia="Times New Roman" w:hAnsi="Times New Roman"/>
          <w:sz w:val="18"/>
          <w:szCs w:val="18"/>
          <w:b w:val="1"/>
          <w:bCs w:val="1"/>
          <w:color w:val="auto"/>
        </w:rPr>
      </w:pPr>
    </w:p>
    <w:p>
      <w:pPr>
        <w:ind w:left="1620" w:right="539" w:firstLine="360"/>
        <w:spacing w:after="0" w:line="245" w:lineRule="auto"/>
        <w:tabs>
          <w:tab w:leader="none" w:pos="229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Class A Ordinary Shares (including Class A Ordinary Shares represented by ADSs) properly tendered and not properly withdrawn, will be purchased upon the terms and subject to the conditions of the Offer. However, because of proration and the “odd lot” priority provisions described in the Offer to Purchase, the Company may not purchase all of the Class A Ordinary Shares (including Class A Ordinary Shares represented by ADSs) tendered if more than 225,000,000 Class A Ordinary Shares (including Class A Ordinary Shares represented by ADSs) are properly tendered and not properly withdrawn;</w:t>
      </w:r>
    </w:p>
    <w:p>
      <w:pPr>
        <w:spacing w:after="0" w:line="113" w:lineRule="exact"/>
        <w:rPr>
          <w:rFonts w:ascii="Times New Roman" w:cs="Times New Roman" w:eastAsia="Times New Roman" w:hAnsi="Times New Roman"/>
          <w:sz w:val="18"/>
          <w:szCs w:val="18"/>
          <w:b w:val="1"/>
          <w:bCs w:val="1"/>
          <w:color w:val="auto"/>
        </w:rPr>
      </w:pPr>
    </w:p>
    <w:p>
      <w:pPr>
        <w:ind w:left="1620" w:right="519" w:firstLine="360"/>
        <w:spacing w:after="0" w:line="266" w:lineRule="auto"/>
        <w:tabs>
          <w:tab w:leader="none" w:pos="228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ADSs not purchased in the Offer, including ADSs not purchased because of proration, will be returned to you at the Company’s expense promptly after the Expiration Time;</w:t>
      </w:r>
    </w:p>
    <w:p>
      <w:pPr>
        <w:spacing w:after="0" w:line="94" w:lineRule="exact"/>
        <w:rPr>
          <w:rFonts w:ascii="Times New Roman" w:cs="Times New Roman" w:eastAsia="Times New Roman" w:hAnsi="Times New Roman"/>
          <w:sz w:val="18"/>
          <w:szCs w:val="18"/>
          <w:b w:val="1"/>
          <w:bCs w:val="1"/>
          <w:color w:val="auto"/>
        </w:rPr>
      </w:pPr>
    </w:p>
    <w:p>
      <w:pPr>
        <w:ind w:left="1620" w:right="539" w:firstLine="360"/>
        <w:spacing w:after="0" w:line="247" w:lineRule="auto"/>
        <w:tabs>
          <w:tab w:leader="none" w:pos="229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terms and subject to the conditions of the Offer and subject to applicable law, the Company expressly reserves the right, in its sole discretion, (i) upon the occurrence of any of the events set forth in Section 6 of the Offer to Purchase, (a) to terminate the Offer and return all tendered Class A Ordinary Shares (including Class A Ordinary Shares represented by ADSs) to tendering securityholders, (b) extend the Offer and, subject to withdrawal rights as set forth in the Offer to Purchase, retain all of the tendered Class A Ordinary Shares (including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575945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2" w:lineRule="auto"/>
        <w:rPr>
          <w:sz w:val="20"/>
          <w:szCs w:val="20"/>
          <w:color w:val="auto"/>
        </w:rPr>
      </w:pPr>
      <w:r>
        <w:rPr>
          <w:rFonts w:ascii="Times New Roman" w:cs="Times New Roman" w:eastAsia="Times New Roman" w:hAnsi="Times New Roman"/>
          <w:sz w:val="18"/>
          <w:szCs w:val="18"/>
          <w:color w:val="auto"/>
        </w:rPr>
        <w:t>represented by ADSs) until the expiration of the Offer as so extended, (c) waive a condition of the Offer and, subject to any requirement to extend the period of time during which the Offer is open, purchase all of the Class A Ordinary Shares (including Class A Ordinary Shares represented by ADSs) properly tendered and not properly withdrawn prior to the Expiration Time, subject to proration or (d) delay acceptance of payment or payment for Class A Ordinary Shares (including Class A Ordinary Shares represented by ADSs), subject to applicable law, until satisfaction or waiver of the conditions to the Offer, and (ii) to extend the period of time during which the Offer is open, and thereby delay acceptance for payment of, and payment for, any Class A Ordinary Shares (including Class A Ordinary Shares represented by ADSs), by giving oral or written notice of such extension to the Tender Agent and making a public announcement thereof. During any such extension, all Class A Ordinary Shares (including Class A Ordinary Shares represented by ADSs) previously properly tendered and not properly withdrawn will remain subject to the Offer and to the rights of a tendering securityholder to withdraw such securityholder’s Class A Ordinary Shares (including Class A Ordinary Shares represented by ADSs);</w:t>
      </w:r>
    </w:p>
    <w:p>
      <w:pPr>
        <w:spacing w:after="0" w:line="347" w:lineRule="exact"/>
        <w:rPr>
          <w:sz w:val="20"/>
          <w:szCs w:val="20"/>
          <w:color w:val="auto"/>
        </w:rPr>
      </w:pPr>
    </w:p>
    <w:p>
      <w:pPr>
        <w:jc w:val="both"/>
        <w:ind w:left="1620" w:right="419" w:firstLine="360"/>
        <w:spacing w:after="0" w:line="266" w:lineRule="auto"/>
        <w:tabs>
          <w:tab w:leader="none" w:pos="229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advised the undersigned to consult with the undersigned’s own advisors as to the consequences of tendering Class A Ordinary Shares (including Class A Ordinary Shares represented by ADSs) pursuant to the Offer; and</w:t>
      </w:r>
    </w:p>
    <w:p>
      <w:pPr>
        <w:spacing w:after="0" w:line="108" w:lineRule="exact"/>
        <w:rPr>
          <w:rFonts w:ascii="Times New Roman" w:cs="Times New Roman" w:eastAsia="Times New Roman" w:hAnsi="Times New Roman"/>
          <w:sz w:val="18"/>
          <w:szCs w:val="18"/>
          <w:b w:val="1"/>
          <w:bCs w:val="1"/>
          <w:color w:val="auto"/>
        </w:rPr>
      </w:pPr>
    </w:p>
    <w:p>
      <w:pPr>
        <w:ind w:left="1620" w:right="459" w:firstLine="360"/>
        <w:spacing w:after="0" w:line="255" w:lineRule="auto"/>
        <w:tabs>
          <w:tab w:leader="none" w:pos="2291"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OFFER IS NOT BEING MADE TO, NOR WILL TENDERS OF CLASS A ORDINARY SHARES (INCLUDING CLASS A ORDINARY SHARES REPRESENTED BY ADSs) BE ACCEPTED FROM OR ON BEHALF OF, SECURITYHOLDERS IN ANY JURISDICTION IN WHICH THE MAKING OR ACCEPTANCE OF THE OFFER WOULD NOT BE IN COMPLIANCE WITH THE LAWS OF THAT JURISDICTION. HOWEVER, WE MAY, AT OUR DISCRETION, TAKE ANY ACTIONS NECESSARY FOR US TO MAKE THE OFFER TO SECURITYHOLDERS IN ANY SUCH JURISDICTION.</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agrees to all of the terms and conditions of the Offer.</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below in the box captioned “Special Payment Instructions,” please remit payment (in the case of holders of Restricted ADSs (as defined in the Deposit Agreement and hereinafter used as so defined) (CUSIP No.: 759892979), by wire, and in the case of holders of ADSs (CUSIP No.: 759892300), by check) for the purchase price for ADSs accepted for payment (less any applicable withholding taxes and without interest, less a cash distribution fee of $0.05 per tendered ADS accepted for purchase in the Offer that will be paid to Citibank, N.A., as ADS Depositary) to the registered holder(s) appearing under Item A. “Description of ADSs Tendered.” Similarly, unless otherwise indicated under “Special Delivery Instructions,” please remit payment (in the case of holders of Restricted ADSs (as defined in the Deposit Agreement and hereinafter used as so defined) (CUSIP No.: 759892979), by wire, and in the case of holders of ADSs (CUSIP No.: 759892300), by check) for the purchase price for ADSs accepted for payment (less any applicable withholding taxes and without interest, less a cash distribution fee of $0.05 per tendered ADS accepted for purchase in the Offer that will be paid to Citibank, N.A., as ADS Depositary) to the address(es) of the registered owner(s) appearing under Item A. “Description of ADSs Tendered.” For purposes of this Letter of Transmittal, “Deposit Agreement” shall mean that certain Deposit Agreement, dated as of May 4, 2011, as amended by Amendment No. 1 to Deposit Agreement, dated as of February 6, 2017, and by Amendment No. 2 to Deposit Agreement, dated as of January 9, 2020, by and among the Company, Citibank, N.A., as ADS Depositary, and all Holders and Beneficial Owners of ADSs issued thereunder (each as defined therein).</w:t>
      </w:r>
    </w:p>
    <w:p>
      <w:pPr>
        <w:spacing w:after="0" w:line="34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event that both the “Special Delivery Instructions” and the “Special Payment Instructions” are completed, please issue the check for payment of the purchase price (less any applicable withholding taxes and without interest, less a cash distribution fee of $0.05 per tendered ADS accepted for purchase in the Offer that will be paid to Citibank, N.A., as ADS Depositary) for ADSs accepted for payment in the name(s) of, and deliver such check to the person or persons so indicated. Appropriate medallion signature guarantees by an Eligible Institution (as defined in Instruction 1) have been included with respect to ADSs for which Special Payment Instructions have been given. The undersigned recognizes that the Company has no obligation pursuant to the “Special Payment Instructions” to transfer any ADSs from the name of the registered holder(s) thereof if the Company does not accept for payment any of ADSs so properly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581660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8"/>
        </w:trPr>
        <w:tc>
          <w:tcPr>
            <w:tcW w:w="3860" w:type="dxa"/>
            <w:vAlign w:val="bottom"/>
            <w:tcBorders>
              <w:top w:val="single" w:sz="8" w:color="auto"/>
              <w:left w:val="single" w:sz="8" w:color="auto"/>
            </w:tcBorders>
            <w:gridSpan w:val="3"/>
          </w:tcPr>
          <w:p>
            <w:pPr>
              <w:ind w:left="20"/>
              <w:spacing w:after="0" w:line="288" w:lineRule="exact"/>
              <w:rPr>
                <w:sz w:val="20"/>
                <w:szCs w:val="20"/>
                <w:color w:val="auto"/>
              </w:rPr>
            </w:pPr>
            <w:r>
              <w:rPr>
                <w:rFonts w:ascii="Times New Roman" w:cs="Times New Roman" w:eastAsia="Times New Roman" w:hAnsi="Times New Roman"/>
                <w:sz w:val="33"/>
                <w:szCs w:val="33"/>
                <w:b w:val="1"/>
                <w:bCs w:val="1"/>
                <w:color w:val="auto"/>
                <w:vertAlign w:val="superscript"/>
              </w:rPr>
              <w:t>​</w:t>
            </w:r>
            <w:r>
              <w:rPr>
                <w:rFonts w:ascii="Times New Roman" w:cs="Times New Roman" w:eastAsia="Times New Roman" w:hAnsi="Times New Roman"/>
                <w:sz w:val="17"/>
                <w:szCs w:val="17"/>
                <w:b w:val="1"/>
                <w:bCs w:val="1"/>
                <w:color w:val="auto"/>
              </w:rPr>
              <w:t xml:space="preserve"> ITEM B: SPECIAL PAYMENT</w:t>
            </w:r>
          </w:p>
        </w:tc>
        <w:tc>
          <w:tcPr>
            <w:tcW w:w="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100" w:type="dxa"/>
            <w:vAlign w:val="bottom"/>
            <w:tcBorders>
              <w:left w:val="single" w:sz="8" w:color="auto"/>
            </w:tcBorders>
          </w:tcPr>
          <w:p>
            <w:pPr>
              <w:spacing w:after="0"/>
              <w:rPr>
                <w:sz w:val="21"/>
                <w:szCs w:val="21"/>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40" w:type="dxa"/>
            <w:vAlign w:val="bottom"/>
            <w:tcBorders>
              <w:right w:val="single" w:sz="8" w:color="auto"/>
            </w:tcBorders>
          </w:tcPr>
          <w:p>
            <w:pPr>
              <w:spacing w:after="0"/>
              <w:rPr>
                <w:sz w:val="21"/>
                <w:szCs w:val="21"/>
                <w:color w:val="auto"/>
              </w:rPr>
            </w:pPr>
          </w:p>
        </w:tc>
      </w:tr>
      <w:tr>
        <w:trPr>
          <w:trHeight w:val="319"/>
        </w:trPr>
        <w:tc>
          <w:tcPr>
            <w:tcW w:w="38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 To be completed ONLY if the check for the</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 for ADSs accepted for payment</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any applicable withholding taxes and</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interest, and less a cash distribution fee</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$0.05 per tendered ADS accepted for purchase</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Offer that will be paid to Citibank, N.A., as</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 Depositary) is to be issued in the name of</w:t>
            </w:r>
          </w:p>
        </w:tc>
        <w:tc>
          <w:tcPr>
            <w:tcW w:w="140" w:type="dxa"/>
            <w:vAlign w:val="bottom"/>
            <w:tcBorders>
              <w:right w:val="single" w:sz="8" w:color="auto"/>
            </w:tcBorders>
          </w:tcPr>
          <w:p>
            <w:pPr>
              <w:spacing w:after="0"/>
              <w:rPr>
                <w:sz w:val="18"/>
                <w:szCs w:val="18"/>
                <w:color w:val="auto"/>
              </w:rPr>
            </w:pPr>
          </w:p>
        </w:tc>
      </w:tr>
      <w:tr>
        <w:trPr>
          <w:trHeight w:val="214"/>
        </w:trPr>
        <w:tc>
          <w:tcPr>
            <w:tcW w:w="100" w:type="dxa"/>
            <w:vAlign w:val="bottom"/>
            <w:tcBorders>
              <w:left w:val="single" w:sz="8" w:color="auto"/>
            </w:tcBorders>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someone other than the person(s) specified in</w:t>
            </w:r>
          </w:p>
        </w:tc>
        <w:tc>
          <w:tcPr>
            <w:tcW w:w="140" w:type="dxa"/>
            <w:vAlign w:val="bottom"/>
            <w:tcBorders>
              <w:right w:val="single" w:sz="8" w:color="auto"/>
            </w:tcBorders>
          </w:tcPr>
          <w:p>
            <w:pPr>
              <w:spacing w:after="0"/>
              <w:rPr>
                <w:sz w:val="18"/>
                <w:szCs w:val="18"/>
                <w:color w:val="auto"/>
              </w:rPr>
            </w:pPr>
          </w:p>
        </w:tc>
      </w:tr>
      <w:tr>
        <w:trPr>
          <w:trHeight w:val="236"/>
        </w:trPr>
        <w:tc>
          <w:tcPr>
            <w:tcW w:w="100" w:type="dxa"/>
            <w:vAlign w:val="bottom"/>
            <w:tcBorders>
              <w:left w:val="single" w:sz="8" w:color="auto"/>
            </w:tcBorders>
          </w:tcPr>
          <w:p>
            <w:pPr>
              <w:spacing w:after="0"/>
              <w:rPr>
                <w:sz w:val="20"/>
                <w:szCs w:val="20"/>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Item A. </w:t>
            </w:r>
            <w:r>
              <w:rPr>
                <w:rFonts w:ascii="Times New Roman" w:cs="Times New Roman" w:eastAsia="Times New Roman" w:hAnsi="Times New Roman"/>
                <w:sz w:val="18"/>
                <w:szCs w:val="18"/>
                <w:i w:val="1"/>
                <w:iCs w:val="1"/>
                <w:color w:val="auto"/>
              </w:rPr>
              <w:t>See Instruction 1, 4, 5 and 6</w:t>
            </w: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r>
      <w:tr>
        <w:trPr>
          <w:trHeight w:val="351"/>
        </w:trPr>
        <w:tc>
          <w:tcPr>
            <w:tcW w:w="38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63"/>
        </w:trPr>
        <w:tc>
          <w:tcPr>
            <w:tcW w:w="100" w:type="dxa"/>
            <w:vAlign w:val="bottom"/>
            <w:tcBorders>
              <w:left w:val="single" w:sz="8" w:color="auto"/>
            </w:tcBorders>
          </w:tcPr>
          <w:p>
            <w:pPr>
              <w:spacing w:after="0"/>
              <w:rPr>
                <w:sz w:val="22"/>
                <w:szCs w:val="22"/>
                <w:color w:val="auto"/>
              </w:rPr>
            </w:pPr>
          </w:p>
        </w:tc>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Issue the check which I am entitled to receive to:</w:t>
            </w:r>
          </w:p>
        </w:tc>
        <w:tc>
          <w:tcPr>
            <w:tcW w:w="140" w:type="dxa"/>
            <w:vAlign w:val="bottom"/>
            <w:tcBorders>
              <w:right w:val="single" w:sz="8" w:color="auto"/>
            </w:tcBorders>
          </w:tcPr>
          <w:p>
            <w:pPr>
              <w:spacing w:after="0"/>
              <w:rPr>
                <w:sz w:val="22"/>
                <w:szCs w:val="22"/>
                <w:color w:val="auto"/>
              </w:rPr>
            </w:pPr>
          </w:p>
        </w:tc>
      </w:tr>
      <w:tr>
        <w:trPr>
          <w:trHeight w:val="392"/>
        </w:trPr>
        <w:tc>
          <w:tcPr>
            <w:tcW w:w="3860" w:type="dxa"/>
            <w:vAlign w:val="bottom"/>
            <w:tcBorders>
              <w:left w:val="single" w:sz="8" w:color="auto"/>
            </w:tcBorders>
            <w:gridSpan w:val="3"/>
          </w:tcPr>
          <w:p>
            <w:pPr>
              <w:ind w:left="20"/>
              <w:spacing w:after="0" w:line="39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Name</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0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(Please Type or Print)</w:t>
            </w:r>
          </w:p>
        </w:tc>
        <w:tc>
          <w:tcPr>
            <w:tcW w:w="140" w:type="dxa"/>
            <w:vAlign w:val="bottom"/>
            <w:tcBorders>
              <w:right w:val="single" w:sz="8" w:color="auto"/>
            </w:tcBorders>
          </w:tcPr>
          <w:p>
            <w:pPr>
              <w:spacing w:after="0"/>
              <w:rPr>
                <w:sz w:val="20"/>
                <w:szCs w:val="20"/>
                <w:color w:val="auto"/>
              </w:rPr>
            </w:pPr>
          </w:p>
        </w:tc>
      </w:tr>
      <w:tr>
        <w:trPr>
          <w:trHeight w:val="383"/>
        </w:trPr>
        <w:tc>
          <w:tcPr>
            <w:tcW w:w="860" w:type="dxa"/>
            <w:vAlign w:val="bottom"/>
            <w:tcBorders>
              <w:left w:val="single" w:sz="8" w:color="auto"/>
            </w:tcBorders>
            <w:gridSpan w:val="2"/>
          </w:tcPr>
          <w:p>
            <w:pPr>
              <w:ind w:left="20"/>
              <w:spacing w:after="0" w:line="383"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Address</w:t>
            </w:r>
          </w:p>
        </w:tc>
        <w:tc>
          <w:tcPr>
            <w:tcW w:w="300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8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00" w:type="dxa"/>
            <w:vAlign w:val="bottom"/>
            <w:tcBorders>
              <w:left w:val="single" w:sz="8" w:color="auto"/>
            </w:tcBorders>
          </w:tcPr>
          <w:p>
            <w:pPr>
              <w:spacing w:after="0"/>
              <w:rPr>
                <w:sz w:val="4"/>
                <w:szCs w:val="4"/>
                <w:color w:val="auto"/>
              </w:rPr>
            </w:pPr>
          </w:p>
        </w:tc>
        <w:tc>
          <w:tcPr>
            <w:tcW w:w="376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345"/>
        </w:trPr>
        <w:tc>
          <w:tcPr>
            <w:tcW w:w="38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00" w:type="dxa"/>
            <w:vAlign w:val="bottom"/>
            <w:tcBorders>
              <w:left w:val="single" w:sz="8" w:color="auto"/>
            </w:tcBorders>
          </w:tcPr>
          <w:p>
            <w:pPr>
              <w:spacing w:after="0"/>
              <w:rPr>
                <w:sz w:val="4"/>
                <w:szCs w:val="4"/>
                <w:color w:val="auto"/>
              </w:rPr>
            </w:pPr>
          </w:p>
        </w:tc>
        <w:tc>
          <w:tcPr>
            <w:tcW w:w="376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345"/>
        </w:trPr>
        <w:tc>
          <w:tcPr>
            <w:tcW w:w="386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00" w:type="dxa"/>
            <w:vAlign w:val="bottom"/>
            <w:tcBorders>
              <w:lef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232"/>
        </w:trPr>
        <w:tc>
          <w:tcPr>
            <w:tcW w:w="10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140" w:type="dxa"/>
            <w:vAlign w:val="bottom"/>
            <w:tcBorders>
              <w:right w:val="single" w:sz="8" w:color="auto"/>
            </w:tcBorders>
          </w:tcPr>
          <w:p>
            <w:pPr>
              <w:spacing w:after="0"/>
              <w:rPr>
                <w:sz w:val="20"/>
                <w:szCs w:val="20"/>
                <w:color w:val="auto"/>
              </w:rPr>
            </w:pPr>
          </w:p>
        </w:tc>
      </w:tr>
      <w:tr>
        <w:trPr>
          <w:trHeight w:val="342"/>
        </w:trPr>
        <w:tc>
          <w:tcPr>
            <w:tcW w:w="386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4"/>
        </w:trPr>
        <w:tc>
          <w:tcPr>
            <w:tcW w:w="100" w:type="dxa"/>
            <w:vAlign w:val="bottom"/>
            <w:tcBorders>
              <w:left w:val="single" w:sz="8" w:color="auto"/>
            </w:tcBorders>
          </w:tcPr>
          <w:p>
            <w:pPr>
              <w:spacing w:after="0"/>
              <w:rPr>
                <w:sz w:val="4"/>
                <w:szCs w:val="4"/>
                <w:color w:val="auto"/>
              </w:rPr>
            </w:pPr>
          </w:p>
        </w:tc>
        <w:tc>
          <w:tcPr>
            <w:tcW w:w="376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187"/>
        </w:trPr>
        <w:tc>
          <w:tcPr>
            <w:tcW w:w="100" w:type="dxa"/>
            <w:vAlign w:val="bottom"/>
            <w:tcBorders>
              <w:left w:val="single" w:sz="8" w:color="auto"/>
            </w:tcBorders>
          </w:tcPr>
          <w:p>
            <w:pPr>
              <w:spacing w:after="0"/>
              <w:rPr>
                <w:sz w:val="16"/>
                <w:szCs w:val="16"/>
                <w:color w:val="auto"/>
              </w:rPr>
            </w:pPr>
          </w:p>
        </w:tc>
        <w:tc>
          <w:tcPr>
            <w:tcW w:w="37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4"/>
              </w:rPr>
              <w:t>(Taxpayer Identification or Social Security</w:t>
            </w:r>
          </w:p>
        </w:tc>
        <w:tc>
          <w:tcPr>
            <w:tcW w:w="140" w:type="dxa"/>
            <w:vAlign w:val="bottom"/>
            <w:tcBorders>
              <w:right w:val="single" w:sz="8" w:color="auto"/>
            </w:tcBorders>
          </w:tcPr>
          <w:p>
            <w:pPr>
              <w:spacing w:after="0"/>
              <w:rPr>
                <w:sz w:val="16"/>
                <w:szCs w:val="16"/>
                <w:color w:val="auto"/>
              </w:rPr>
            </w:pPr>
          </w:p>
        </w:tc>
      </w:tr>
      <w:tr>
        <w:trPr>
          <w:trHeight w:val="238"/>
        </w:trPr>
        <w:tc>
          <w:tcPr>
            <w:tcW w:w="10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7"/>
              </w:rPr>
              <w:t>Number)</w:t>
            </w:r>
          </w:p>
        </w:tc>
        <w:tc>
          <w:tcPr>
            <w:tcW w:w="140" w:type="dxa"/>
            <w:vAlign w:val="bottom"/>
            <w:tcBorders>
              <w:right w:val="single" w:sz="8" w:color="auto"/>
            </w:tcBorders>
          </w:tcPr>
          <w:p>
            <w:pPr>
              <w:spacing w:after="0"/>
              <w:rPr>
                <w:sz w:val="20"/>
                <w:szCs w:val="20"/>
                <w:color w:val="auto"/>
              </w:rPr>
            </w:pPr>
          </w:p>
        </w:tc>
      </w:tr>
      <w:tr>
        <w:trPr>
          <w:trHeight w:val="135"/>
        </w:trPr>
        <w:tc>
          <w:tcPr>
            <w:tcW w:w="100" w:type="dxa"/>
            <w:vAlign w:val="bottom"/>
            <w:tcBorders>
              <w:left w:val="single" w:sz="8" w:color="auto"/>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3887470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8"/>
        </w:trPr>
        <w:tc>
          <w:tcPr>
            <w:tcW w:w="3860" w:type="dxa"/>
            <w:vAlign w:val="bottom"/>
            <w:tcBorders>
              <w:top w:val="single" w:sz="8" w:color="auto"/>
              <w:left w:val="single" w:sz="8" w:color="auto"/>
            </w:tcBorders>
            <w:gridSpan w:val="3"/>
          </w:tcPr>
          <w:p>
            <w:pPr>
              <w:spacing w:after="0" w:line="288" w:lineRule="exact"/>
              <w:rPr>
                <w:sz w:val="20"/>
                <w:szCs w:val="20"/>
                <w:color w:val="auto"/>
              </w:rPr>
            </w:pPr>
            <w:r>
              <w:rPr>
                <w:rFonts w:ascii="Times New Roman" w:cs="Times New Roman" w:eastAsia="Times New Roman" w:hAnsi="Times New Roman"/>
                <w:sz w:val="33"/>
                <w:szCs w:val="33"/>
                <w:b w:val="1"/>
                <w:bCs w:val="1"/>
                <w:color w:val="auto"/>
                <w:vertAlign w:val="superscript"/>
              </w:rPr>
              <w:t>​</w:t>
            </w:r>
            <w:r>
              <w:rPr>
                <w:rFonts w:ascii="Times New Roman" w:cs="Times New Roman" w:eastAsia="Times New Roman" w:hAnsi="Times New Roman"/>
                <w:sz w:val="17"/>
                <w:szCs w:val="17"/>
                <w:b w:val="1"/>
                <w:bCs w:val="1"/>
                <w:color w:val="auto"/>
              </w:rPr>
              <w:t xml:space="preserve"> ITEM C: SPECIAL DELIVERY</w:t>
            </w:r>
          </w:p>
        </w:tc>
        <w:tc>
          <w:tcPr>
            <w:tcW w:w="1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80" w:type="dxa"/>
            <w:vAlign w:val="bottom"/>
            <w:tcBorders>
              <w:left w:val="single" w:sz="8" w:color="auto"/>
            </w:tcBorders>
          </w:tcPr>
          <w:p>
            <w:pPr>
              <w:spacing w:after="0"/>
              <w:rPr>
                <w:sz w:val="21"/>
                <w:szCs w:val="21"/>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40" w:type="dxa"/>
            <w:vAlign w:val="bottom"/>
            <w:tcBorders>
              <w:right w:val="single" w:sz="8" w:color="auto"/>
            </w:tcBorders>
          </w:tcPr>
          <w:p>
            <w:pPr>
              <w:spacing w:after="0"/>
              <w:rPr>
                <w:sz w:val="21"/>
                <w:szCs w:val="21"/>
                <w:color w:val="auto"/>
              </w:rPr>
            </w:pPr>
          </w:p>
        </w:tc>
      </w:tr>
      <w:tr>
        <w:trPr>
          <w:trHeight w:val="292"/>
        </w:trPr>
        <w:tc>
          <w:tcPr>
            <w:tcW w:w="3860" w:type="dxa"/>
            <w:vAlign w:val="bottom"/>
            <w:tcBorders>
              <w:lef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To be completed ONLY if delivery of the check</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any applicable withholding taxes and</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interest, and less a cash distribution fee</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$0.05 per tendered ADS accepted for purchase</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Offer that will be paid to Citibank, N.A., as</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 Depositary) is to be made to an address</w:t>
            </w:r>
          </w:p>
        </w:tc>
        <w:tc>
          <w:tcPr>
            <w:tcW w:w="140" w:type="dxa"/>
            <w:vAlign w:val="bottom"/>
            <w:tcBorders>
              <w:right w:val="single" w:sz="8" w:color="auto"/>
            </w:tcBorders>
          </w:tcPr>
          <w:p>
            <w:pPr>
              <w:spacing w:after="0"/>
              <w:rPr>
                <w:sz w:val="18"/>
                <w:szCs w:val="18"/>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than that specified in Item A, or to an</w:t>
            </w:r>
          </w:p>
        </w:tc>
        <w:tc>
          <w:tcPr>
            <w:tcW w:w="140" w:type="dxa"/>
            <w:vAlign w:val="bottom"/>
            <w:tcBorders>
              <w:right w:val="single" w:sz="8" w:color="auto"/>
            </w:tcBorders>
          </w:tcPr>
          <w:p>
            <w:pPr>
              <w:spacing w:after="0"/>
              <w:rPr>
                <w:sz w:val="18"/>
                <w:szCs w:val="18"/>
                <w:color w:val="auto"/>
              </w:rPr>
            </w:pPr>
          </w:p>
        </w:tc>
      </w:tr>
      <w:tr>
        <w:trPr>
          <w:trHeight w:val="214"/>
        </w:trPr>
        <w:tc>
          <w:tcPr>
            <w:tcW w:w="80" w:type="dxa"/>
            <w:vAlign w:val="bottom"/>
            <w:tcBorders>
              <w:left w:val="single" w:sz="8" w:color="auto"/>
            </w:tcBorders>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other than that appearing in Item B (if</w:t>
            </w:r>
          </w:p>
        </w:tc>
        <w:tc>
          <w:tcPr>
            <w:tcW w:w="140" w:type="dxa"/>
            <w:vAlign w:val="bottom"/>
            <w:tcBorders>
              <w:right w:val="single" w:sz="8" w:color="auto"/>
            </w:tcBorders>
          </w:tcPr>
          <w:p>
            <w:pPr>
              <w:spacing w:after="0"/>
              <w:rPr>
                <w:sz w:val="18"/>
                <w:szCs w:val="18"/>
                <w:color w:val="auto"/>
              </w:rPr>
            </w:pPr>
          </w:p>
        </w:tc>
      </w:tr>
      <w:tr>
        <w:trPr>
          <w:trHeight w:val="236"/>
        </w:trPr>
        <w:tc>
          <w:tcPr>
            <w:tcW w:w="80" w:type="dxa"/>
            <w:vAlign w:val="bottom"/>
            <w:tcBorders>
              <w:left w:val="single" w:sz="8" w:color="auto"/>
            </w:tcBorders>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filled in). </w:t>
            </w:r>
            <w:r>
              <w:rPr>
                <w:rFonts w:ascii="Times New Roman" w:cs="Times New Roman" w:eastAsia="Times New Roman" w:hAnsi="Times New Roman"/>
                <w:sz w:val="18"/>
                <w:szCs w:val="18"/>
                <w:i w:val="1"/>
                <w:iCs w:val="1"/>
                <w:color w:val="auto"/>
              </w:rPr>
              <w:t>See Instruction 1, 4, 5 and 6</w:t>
            </w: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r>
      <w:tr>
        <w:trPr>
          <w:trHeight w:val="324"/>
        </w:trPr>
        <w:tc>
          <w:tcPr>
            <w:tcW w:w="3860" w:type="dxa"/>
            <w:vAlign w:val="bottom"/>
            <w:tcBorders>
              <w:left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6"/>
        </w:trPr>
        <w:tc>
          <w:tcPr>
            <w:tcW w:w="80" w:type="dxa"/>
            <w:vAlign w:val="bottom"/>
            <w:tcBorders>
              <w:left w:val="single" w:sz="8" w:color="auto"/>
            </w:tcBorders>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Deliver the check which I am entitled to receive</w:t>
            </w:r>
          </w:p>
        </w:tc>
        <w:tc>
          <w:tcPr>
            <w:tcW w:w="140" w:type="dxa"/>
            <w:vAlign w:val="bottom"/>
            <w:tcBorders>
              <w:right w:val="single" w:sz="8" w:color="auto"/>
            </w:tcBorders>
          </w:tcPr>
          <w:p>
            <w:pPr>
              <w:spacing w:after="0"/>
              <w:rPr>
                <w:sz w:val="20"/>
                <w:szCs w:val="20"/>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3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to:</w:t>
            </w:r>
          </w:p>
        </w:tc>
        <w:tc>
          <w:tcPr>
            <w:tcW w:w="140" w:type="dxa"/>
            <w:vAlign w:val="bottom"/>
            <w:tcBorders>
              <w:right w:val="single" w:sz="8" w:color="auto"/>
            </w:tcBorders>
          </w:tcPr>
          <w:p>
            <w:pPr>
              <w:spacing w:after="0"/>
              <w:rPr>
                <w:sz w:val="21"/>
                <w:szCs w:val="21"/>
                <w:color w:val="auto"/>
              </w:rPr>
            </w:pPr>
          </w:p>
        </w:tc>
      </w:tr>
      <w:tr>
        <w:trPr>
          <w:trHeight w:val="378"/>
        </w:trPr>
        <w:tc>
          <w:tcPr>
            <w:tcW w:w="3860" w:type="dxa"/>
            <w:vAlign w:val="bottom"/>
            <w:tcBorders>
              <w:left w:val="single" w:sz="8" w:color="auto"/>
            </w:tcBorders>
            <w:gridSpan w:val="3"/>
          </w:tcPr>
          <w:p>
            <w:pPr>
              <w:spacing w:after="0" w:line="37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Name</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(Please Type or Print)</w:t>
            </w:r>
          </w:p>
        </w:tc>
        <w:tc>
          <w:tcPr>
            <w:tcW w:w="140" w:type="dxa"/>
            <w:vAlign w:val="bottom"/>
            <w:tcBorders>
              <w:right w:val="single" w:sz="8" w:color="auto"/>
            </w:tcBorders>
          </w:tcPr>
          <w:p>
            <w:pPr>
              <w:spacing w:after="0"/>
              <w:rPr>
                <w:sz w:val="20"/>
                <w:szCs w:val="20"/>
                <w:color w:val="auto"/>
              </w:rPr>
            </w:pPr>
          </w:p>
        </w:tc>
      </w:tr>
      <w:tr>
        <w:trPr>
          <w:trHeight w:val="369"/>
        </w:trPr>
        <w:tc>
          <w:tcPr>
            <w:tcW w:w="840" w:type="dxa"/>
            <w:vAlign w:val="bottom"/>
            <w:tcBorders>
              <w:left w:val="single" w:sz="8" w:color="auto"/>
            </w:tcBorders>
            <w:gridSpan w:val="2"/>
          </w:tcPr>
          <w:p>
            <w:pPr>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Address</w:t>
            </w:r>
          </w:p>
        </w:tc>
        <w:tc>
          <w:tcPr>
            <w:tcW w:w="302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3860" w:type="dxa"/>
            <w:vAlign w:val="bottom"/>
            <w:tcBorders>
              <w:lef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80" w:type="dxa"/>
            <w:vAlign w:val="bottom"/>
            <w:tcBorders>
              <w:left w:val="single" w:sz="8" w:color="auto"/>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318"/>
        </w:trPr>
        <w:tc>
          <w:tcPr>
            <w:tcW w:w="3860" w:type="dxa"/>
            <w:vAlign w:val="bottom"/>
            <w:tcBorders>
              <w:lef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80" w:type="dxa"/>
            <w:vAlign w:val="bottom"/>
            <w:tcBorders>
              <w:left w:val="single" w:sz="8" w:color="auto"/>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318"/>
        </w:trPr>
        <w:tc>
          <w:tcPr>
            <w:tcW w:w="38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80" w:type="dxa"/>
            <w:vAlign w:val="bottom"/>
            <w:tcBorders>
              <w:lef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232"/>
        </w:trPr>
        <w:tc>
          <w:tcPr>
            <w:tcW w:w="8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140" w:type="dxa"/>
            <w:vAlign w:val="bottom"/>
            <w:tcBorders>
              <w:right w:val="single" w:sz="8" w:color="auto"/>
            </w:tcBorders>
          </w:tcPr>
          <w:p>
            <w:pPr>
              <w:spacing w:after="0"/>
              <w:rPr>
                <w:sz w:val="20"/>
                <w:szCs w:val="20"/>
                <w:color w:val="auto"/>
              </w:rPr>
            </w:pPr>
          </w:p>
        </w:tc>
      </w:tr>
      <w:tr>
        <w:trPr>
          <w:trHeight w:val="315"/>
        </w:trPr>
        <w:tc>
          <w:tcPr>
            <w:tcW w:w="38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4"/>
        </w:trPr>
        <w:tc>
          <w:tcPr>
            <w:tcW w:w="80" w:type="dxa"/>
            <w:vAlign w:val="bottom"/>
            <w:tcBorders>
              <w:left w:val="single" w:sz="8" w:color="auto"/>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r>
      <w:tr>
        <w:trPr>
          <w:trHeight w:val="187"/>
        </w:trPr>
        <w:tc>
          <w:tcPr>
            <w:tcW w:w="80" w:type="dxa"/>
            <w:vAlign w:val="bottom"/>
            <w:tcBorders>
              <w:left w:val="single" w:sz="8" w:color="auto"/>
            </w:tcBorders>
          </w:tcPr>
          <w:p>
            <w:pPr>
              <w:spacing w:after="0"/>
              <w:rPr>
                <w:sz w:val="16"/>
                <w:szCs w:val="16"/>
                <w:color w:val="auto"/>
              </w:rPr>
            </w:pPr>
          </w:p>
        </w:tc>
        <w:tc>
          <w:tcPr>
            <w:tcW w:w="37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4"/>
              </w:rPr>
              <w:t>(Taxpayer Identification or Social Security</w:t>
            </w:r>
          </w:p>
        </w:tc>
        <w:tc>
          <w:tcPr>
            <w:tcW w:w="140" w:type="dxa"/>
            <w:vAlign w:val="bottom"/>
            <w:tcBorders>
              <w:right w:val="single" w:sz="8" w:color="auto"/>
            </w:tcBorders>
          </w:tcPr>
          <w:p>
            <w:pPr>
              <w:spacing w:after="0"/>
              <w:rPr>
                <w:sz w:val="16"/>
                <w:szCs w:val="16"/>
                <w:color w:val="auto"/>
              </w:rPr>
            </w:pPr>
          </w:p>
        </w:tc>
      </w:tr>
      <w:tr>
        <w:trPr>
          <w:trHeight w:val="238"/>
        </w:trPr>
        <w:tc>
          <w:tcPr>
            <w:tcW w:w="8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0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Number)</w:t>
            </w:r>
          </w:p>
        </w:tc>
        <w:tc>
          <w:tcPr>
            <w:tcW w:w="140" w:type="dxa"/>
            <w:vAlign w:val="bottom"/>
            <w:tcBorders>
              <w:right w:val="single" w:sz="8" w:color="auto"/>
            </w:tcBorders>
          </w:tcPr>
          <w:p>
            <w:pPr>
              <w:spacing w:after="0"/>
              <w:rPr>
                <w:sz w:val="20"/>
                <w:szCs w:val="20"/>
                <w:color w:val="auto"/>
              </w:rPr>
            </w:pPr>
          </w:p>
        </w:tc>
      </w:tr>
      <w:tr>
        <w:trPr>
          <w:trHeight w:val="108"/>
        </w:trPr>
        <w:tc>
          <w:tcPr>
            <w:tcW w:w="80" w:type="dxa"/>
            <w:vAlign w:val="bottom"/>
            <w:tcBorders>
              <w:left w:val="single" w:sz="8" w:color="auto"/>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2">
            <w:col w:w="5260" w:space="220"/>
            <w:col w:w="439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IMPORTANT: SECURITYHOLDERS SIGN HERE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(PLEASE ALSO COMPLETE IRS FORM W-9 OR APPROPRIATE IRS FORM W-8)</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Owner(s):</w:t>
            </w:r>
          </w:p>
        </w:tc>
        <w:tc>
          <w:tcPr>
            <w:tcW w:w="6240" w:type="dxa"/>
            <w:vAlign w:val="bottom"/>
            <w:gridSpan w:val="2"/>
          </w:tcPr>
          <w:p>
            <w:pPr>
              <w:jc w:val="right"/>
              <w:ind w:right="5918"/>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
                <w:szCs w:val="2"/>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9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5"/>
        </w:trPr>
        <w:tc>
          <w:tcPr>
            <w:tcW w:w="7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5980" w:type="dxa"/>
            <w:vAlign w:val="bottom"/>
            <w:vMerge w:val="restart"/>
          </w:tcPr>
          <w:p>
            <w:pPr>
              <w:jc w:val="right"/>
              <w:ind w:right="5918"/>
              <w:spacing w:after="0"/>
              <w:rPr>
                <w:sz w:val="20"/>
                <w:szCs w:val="20"/>
                <w:color w:val="auto"/>
              </w:rPr>
            </w:pPr>
            <w:r>
              <w:rPr>
                <w:rFonts w:ascii="Times New Roman" w:cs="Times New Roman" w:eastAsia="Times New Roman" w:hAnsi="Times New Roman"/>
                <w:sz w:val="4"/>
                <w:szCs w:val="4"/>
                <w:color w:val="auto"/>
                <w:w w:val="97"/>
              </w:rPr>
              <w:t> </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Signature(s) of Owner(s):</w:t>
            </w:r>
          </w:p>
        </w:tc>
        <w:tc>
          <w:tcPr>
            <w:tcW w:w="260" w:type="dxa"/>
            <w:vAlign w:val="bottom"/>
          </w:tcPr>
          <w:p>
            <w:pPr>
              <w:spacing w:after="0"/>
              <w:rPr>
                <w:sz w:val="10"/>
                <w:szCs w:val="10"/>
                <w:color w:val="auto"/>
              </w:rPr>
            </w:pPr>
          </w:p>
        </w:tc>
        <w:tc>
          <w:tcPr>
            <w:tcW w:w="598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980" w:type="dxa"/>
            <w:vAlign w:val="bottom"/>
            <w:vMerge w:val="restart"/>
          </w:tcPr>
          <w:p>
            <w:pPr>
              <w:jc w:val="right"/>
              <w:ind w:right="5918"/>
              <w:spacing w:after="0"/>
              <w:rPr>
                <w:sz w:val="20"/>
                <w:szCs w:val="20"/>
                <w:color w:val="auto"/>
              </w:rPr>
            </w:pPr>
            <w:r>
              <w:rPr>
                <w:rFonts w:ascii="Times New Roman" w:cs="Times New Roman" w:eastAsia="Times New Roman" w:hAnsi="Times New Roman"/>
                <w:sz w:val="4"/>
                <w:szCs w:val="4"/>
                <w:color w:val="auto"/>
                <w:w w:val="97"/>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7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Dated:</w:t>
            </w: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98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52" w:lineRule="exact"/>
        <w:rPr>
          <w:sz w:val="20"/>
          <w:szCs w:val="20"/>
          <w:color w:val="auto"/>
        </w:rPr>
      </w:pPr>
    </w:p>
    <w:p>
      <w:pPr>
        <w:ind w:left="1260"/>
        <w:spacing w:after="0" w:line="260" w:lineRule="auto"/>
        <w:rPr>
          <w:sz w:val="20"/>
          <w:szCs w:val="20"/>
          <w:color w:val="auto"/>
        </w:rPr>
      </w:pPr>
      <w:r>
        <w:rPr>
          <w:rFonts w:ascii="Times New Roman" w:cs="Times New Roman" w:eastAsia="Times New Roman" w:hAnsi="Times New Roman"/>
          <w:sz w:val="18"/>
          <w:szCs w:val="18"/>
          <w:color w:val="auto"/>
        </w:rPr>
        <w:t>​(Must be signed by registered holder(s) exactly as name(s) appear(s) on a security position listing or by person(s) authorized to become registered holder(s) ADSs as evidenced by endorsement or stock powers transmitted herewith. If signed by a trustee, executor, administrator, guardian, attorney-in-fact, officer of a corporation or other person acting in a fiduciary or representative capacity, the full title of the person should be set forth. See Instruction 4).</w:t>
      </w:r>
    </w:p>
    <w:tbl>
      <w:tblPr>
        <w:tblLayout w:type="fixed"/>
        <w:tblInd w:w="1260" w:type="dxa"/>
        <w:tblCellMar>
          <w:top w:w="0" w:type="dxa"/>
          <w:left w:w="0" w:type="dxa"/>
          <w:bottom w:w="0" w:type="dxa"/>
          <w:right w:w="0" w:type="dxa"/>
        </w:tblCellMar>
      </w:tblPr>
      <w:tr>
        <w:trPr>
          <w:trHeight w:val="180"/>
        </w:trPr>
        <w:tc>
          <w:tcPr>
            <w:tcW w:w="134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60"/>
              <w:spacing w:after="0" w:line="180"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w w:val="97"/>
              </w:rPr>
              <w:t> </w:t>
            </w:r>
          </w:p>
        </w:tc>
        <w:tc>
          <w:tcPr>
            <w:tcW w:w="0" w:type="dxa"/>
            <w:vAlign w:val="bottom"/>
          </w:tcPr>
          <w:p>
            <w:pPr>
              <w:spacing w:after="0"/>
              <w:rPr>
                <w:sz w:val="1"/>
                <w:szCs w:val="1"/>
                <w:color w:val="auto"/>
              </w:rPr>
            </w:pPr>
          </w:p>
        </w:tc>
      </w:tr>
      <w:tr>
        <w:trPr>
          <w:trHeight w:val="177"/>
        </w:trPr>
        <w:tc>
          <w:tcPr>
            <w:tcW w:w="1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Name(s):</w:t>
            </w:r>
          </w:p>
        </w:tc>
        <w:tc>
          <w:tcPr>
            <w:tcW w:w="8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-34925</wp:posOffset>
            </wp:positionV>
            <wp:extent cx="38061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1"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7"/>
        </w:trPr>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80" w:type="dxa"/>
            <w:vAlign w:val="bottom"/>
            <w:gridSpan w:val="2"/>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0" w:type="dxa"/>
            <w:vAlign w:val="bottom"/>
          </w:tcPr>
          <w:p>
            <w:pPr>
              <w:spacing w:after="0"/>
              <w:rPr>
                <w:sz w:val="1"/>
                <w:szCs w:val="1"/>
                <w:color w:val="auto"/>
              </w:rPr>
            </w:pPr>
          </w:p>
        </w:tc>
      </w:tr>
      <w:tr>
        <w:trPr>
          <w:trHeight w:val="180"/>
        </w:trPr>
        <w:tc>
          <w:tcPr>
            <w:tcW w:w="1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9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Capacity (full title):</w:t>
            </w:r>
          </w:p>
        </w:tc>
        <w:tc>
          <w:tcPr>
            <w:tcW w:w="240" w:type="dxa"/>
            <w:vAlign w:val="bottom"/>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80" w:type="dxa"/>
            <w:vAlign w:val="bottom"/>
            <w:gridSpan w:val="2"/>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0" w:type="dxa"/>
            <w:vAlign w:val="bottom"/>
          </w:tcPr>
          <w:p>
            <w:pPr>
              <w:spacing w:after="0"/>
              <w:rPr>
                <w:sz w:val="1"/>
                <w:szCs w:val="1"/>
                <w:color w:val="auto"/>
              </w:rPr>
            </w:pPr>
          </w:p>
        </w:tc>
      </w:tr>
      <w:tr>
        <w:trPr>
          <w:trHeight w:val="203"/>
        </w:trPr>
        <w:tc>
          <w:tcPr>
            <w:tcW w:w="19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98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Address:</w:t>
            </w:r>
          </w:p>
        </w:tc>
        <w:tc>
          <w:tcPr>
            <w:tcW w:w="240" w:type="dxa"/>
            <w:vAlign w:val="bottom"/>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80" w:type="dxa"/>
            <w:vAlign w:val="bottom"/>
            <w:gridSpan w:val="2"/>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0" w:type="dxa"/>
            <w:vAlign w:val="bottom"/>
          </w:tcPr>
          <w:p>
            <w:pPr>
              <w:spacing w:after="0"/>
              <w:rPr>
                <w:sz w:val="1"/>
                <w:szCs w:val="1"/>
                <w:color w:val="auto"/>
              </w:rPr>
            </w:pPr>
          </w:p>
        </w:tc>
      </w:tr>
      <w:tr>
        <w:trPr>
          <w:trHeight w:val="203"/>
        </w:trPr>
        <w:tc>
          <w:tcPr>
            <w:tcW w:w="19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9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Daytime Area Code and</w:t>
            </w: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4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Telephone Number:</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0"/>
        </w:trPr>
        <w:tc>
          <w:tcPr>
            <w:tcW w:w="198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or</w:t>
            </w:r>
          </w:p>
        </w:tc>
        <w:tc>
          <w:tcPr>
            <w:tcW w:w="2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No.:</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3896360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1600"/>
        <w:spacing w:after="0" w:line="262" w:lineRule="auto"/>
        <w:rPr>
          <w:sz w:val="20"/>
          <w:szCs w:val="20"/>
          <w:color w:val="auto"/>
        </w:rPr>
      </w:pPr>
      <w:r>
        <w:rPr>
          <w:rFonts w:ascii="Times New Roman" w:cs="Times New Roman" w:eastAsia="Times New Roman" w:hAnsi="Times New Roman"/>
          <w:sz w:val="18"/>
          <w:szCs w:val="18"/>
          <w:b w:val="1"/>
          <w:bCs w:val="1"/>
          <w:color w:val="auto"/>
        </w:rPr>
        <w:t>COMPLETE IRS FORM W-9 OR APPROPRIATE IRS FORM W-8. GUARANTEE OF SIGNATURE(S) (FOR USE BY ELIGIBLE INSTITUTIONS ONLY; SEE INSTRUCTIONS 1 AND 4)</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of Firm:</w:t>
            </w:r>
          </w:p>
        </w:tc>
        <w:tc>
          <w:tcPr>
            <w:tcW w:w="1260" w:type="dxa"/>
            <w:vAlign w:val="bottom"/>
            <w:gridSpan w:val="2"/>
          </w:tcPr>
          <w:p>
            <w:pPr>
              <w:jc w:val="right"/>
              <w:ind w:right="918"/>
              <w:spacing w:after="0"/>
              <w:rPr>
                <w:sz w:val="20"/>
                <w:szCs w:val="20"/>
                <w:color w:val="auto"/>
              </w:rPr>
            </w:pPr>
            <w:r>
              <w:rPr>
                <w:rFonts w:ascii="Times New Roman" w:cs="Times New Roman" w:eastAsia="Times New Roman" w:hAnsi="Times New Roman"/>
                <w:sz w:val="18"/>
                <w:szCs w:val="18"/>
                <w:color w:val="auto"/>
              </w:rPr>
              <w:t xml:space="preserve">​ ​  </w:t>
            </w:r>
          </w:p>
        </w:tc>
        <w:tc>
          <w:tcPr>
            <w:tcW w:w="4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0" w:type="dxa"/>
            <w:vAlign w:val="bottom"/>
          </w:tcPr>
          <w:p>
            <w:pPr>
              <w:spacing w:after="0"/>
              <w:rPr>
                <w:sz w:val="1"/>
                <w:szCs w:val="1"/>
                <w:color w:val="auto"/>
              </w:rPr>
            </w:pPr>
          </w:p>
        </w:tc>
      </w:tr>
      <w:tr>
        <w:trPr>
          <w:trHeight w:val="180"/>
        </w:trPr>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5"/>
                <w:szCs w:val="15"/>
                <w:color w:val="auto"/>
              </w:rPr>
            </w:pPr>
          </w:p>
        </w:tc>
        <w:tc>
          <w:tcPr>
            <w:tcW w:w="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27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Address:</w:t>
            </w: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0" w:type="dxa"/>
            <w:vAlign w:val="bottom"/>
          </w:tcPr>
          <w:p>
            <w:pPr>
              <w:spacing w:after="0"/>
              <w:rPr>
                <w:sz w:val="1"/>
                <w:szCs w:val="1"/>
                <w:color w:val="auto"/>
              </w:rPr>
            </w:pPr>
          </w:p>
        </w:tc>
      </w:tr>
      <w:tr>
        <w:trPr>
          <w:trHeight w:val="203"/>
        </w:trPr>
        <w:tc>
          <w:tcPr>
            <w:tcW w:w="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7"/>
                <w:szCs w:val="17"/>
                <w:color w:val="auto"/>
              </w:rPr>
            </w:pPr>
          </w:p>
        </w:tc>
        <w:tc>
          <w:tcPr>
            <w:tcW w:w="2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27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Authorized Signature:</w:t>
            </w: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50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Name:</w:t>
            </w:r>
          </w:p>
        </w:tc>
        <w:tc>
          <w:tcPr>
            <w:tcW w:w="2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5"/>
              </w:rPr>
              <w:t>(Please Print)</w:t>
            </w:r>
          </w:p>
        </w:tc>
        <w:tc>
          <w:tcPr>
            <w:tcW w:w="0" w:type="dxa"/>
            <w:vAlign w:val="bottom"/>
          </w:tcPr>
          <w:p>
            <w:pPr>
              <w:spacing w:after="0"/>
              <w:rPr>
                <w:sz w:val="1"/>
                <w:szCs w:val="1"/>
                <w:color w:val="auto"/>
              </w:rPr>
            </w:pPr>
          </w:p>
        </w:tc>
      </w:tr>
      <w:tr>
        <w:trPr>
          <w:trHeight w:val="203"/>
        </w:trPr>
        <w:tc>
          <w:tcPr>
            <w:tcW w:w="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7"/>
                <w:szCs w:val="17"/>
                <w:color w:val="auto"/>
              </w:rPr>
            </w:pPr>
          </w:p>
        </w:tc>
        <w:tc>
          <w:tcPr>
            <w:tcW w:w="2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27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Area Code and Telephone Number:</w:t>
            </w: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918"/>
              <w:spacing w:after="0"/>
              <w:rPr>
                <w:sz w:val="20"/>
                <w:szCs w:val="20"/>
                <w:color w:val="auto"/>
              </w:rPr>
            </w:pPr>
            <w:r>
              <w:rPr>
                <w:rFonts w:ascii="Times New Roman" w:cs="Times New Roman" w:eastAsia="Times New Roman" w:hAnsi="Times New Roman"/>
                <w:sz w:val="4"/>
                <w:szCs w:val="4"/>
                <w:color w:val="auto"/>
                <w:w w:val="97"/>
              </w:rPr>
              <w:t> </w:t>
            </w:r>
          </w:p>
        </w:tc>
        <w:tc>
          <w:tcPr>
            <w:tcW w:w="4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274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Dated:</w:t>
            </w:r>
          </w:p>
        </w:tc>
        <w:tc>
          <w:tcPr>
            <w:tcW w:w="280" w:type="dxa"/>
            <w:vAlign w:val="bottom"/>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NOTE: A notarization by a notary public is not acceptable.</w:t>
      </w:r>
    </w:p>
    <w:p>
      <w:pPr>
        <w:spacing w:after="0" w:line="15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4859020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158" w:lineRule="exact"/>
        <w:rPr>
          <w:sz w:val="20"/>
          <w:szCs w:val="20"/>
          <w:color w:val="auto"/>
        </w:rPr>
      </w:pPr>
    </w:p>
    <w:p>
      <w:pPr>
        <w:ind w:left="1260" w:right="419" w:firstLine="360"/>
        <w:spacing w:after="0" w:line="253" w:lineRule="auto"/>
        <w:tabs>
          <w:tab w:leader="none" w:pos="187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No signature guarantee is required on this Letter of Transmittal if (i)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of Transmittal is signed by the registered holder(s) of ADSs tendered herewith, unless such registered holder(s) has or have completed the box captioned “Special Delivery Instructions” or the box captioned “Special Payment Instructions” on this Letter of Transmittal or (ii) such ADSs are tendered for the account of a bank, broker, dealer, credit union, savings association or other entity that is a member in good standing of a Medallion Program approved by the Securities Transfer Agents Association, Inc., including the Securities Transfer Agents Medallion Program, the New York Stock Exchange, Inc. Medallion Signature Program or the Stock Exchange Medallion Program, or is otherwise an “eligible guarantor institution” as the term is defined in Exchange Act Rule 17Ad-15 (each an “</w:t>
      </w:r>
      <w:r>
        <w:rPr>
          <w:rFonts w:ascii="Times New Roman" w:cs="Times New Roman" w:eastAsia="Times New Roman" w:hAnsi="Times New Roman"/>
          <w:sz w:val="18"/>
          <w:szCs w:val="18"/>
          <w:b w:val="1"/>
          <w:bCs w:val="1"/>
          <w:color w:val="auto"/>
        </w:rPr>
        <w:t>Eligible Institution</w:t>
      </w:r>
      <w:r>
        <w:rPr>
          <w:rFonts w:ascii="Times New Roman" w:cs="Times New Roman" w:eastAsia="Times New Roman" w:hAnsi="Times New Roman"/>
          <w:sz w:val="18"/>
          <w:szCs w:val="18"/>
          <w:color w:val="auto"/>
        </w:rPr>
        <w:t>”). In all other cases, all signatures on this Letter of Transmittal must be guaranteed by an Eligible Institution. See Instruction 4. If you have any questions regarding the need for a signature guarantee, please call Georgeson LLC (the “Information Agent”) toll-free at (866) 585-6991.</w:t>
      </w:r>
    </w:p>
    <w:p>
      <w:pPr>
        <w:spacing w:after="0" w:line="340" w:lineRule="exact"/>
        <w:rPr>
          <w:rFonts w:ascii="Times New Roman" w:cs="Times New Roman" w:eastAsia="Times New Roman" w:hAnsi="Times New Roman"/>
          <w:sz w:val="18"/>
          <w:szCs w:val="18"/>
          <w:b w:val="1"/>
          <w:bCs w:val="1"/>
          <w:color w:val="auto"/>
        </w:rPr>
      </w:pPr>
    </w:p>
    <w:p>
      <w:pPr>
        <w:ind w:left="1260" w:right="459" w:firstLine="360"/>
        <w:spacing w:after="0" w:line="254" w:lineRule="auto"/>
        <w:tabs>
          <w:tab w:leader="none" w:pos="187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Requirements of Tender. </w:t>
      </w:r>
      <w:r>
        <w:rPr>
          <w:rFonts w:ascii="Times New Roman" w:cs="Times New Roman" w:eastAsia="Times New Roman" w:hAnsi="Times New Roman"/>
          <w:sz w:val="18"/>
          <w:szCs w:val="18"/>
          <w:color w:val="auto"/>
        </w:rPr>
        <w:t>This Letter of Transmittal is to be completed by holders of ADSs.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Instruction Form has been provided and is to be completed by holders of Class A Ordinary Shares not represented by ADSs. For a securityholder to properly tender ADSs pursuant to the Offer, (i) this Letter of Transmittal, properly completed and duly executed, including any required signature guarantees, and all other documents required by this Letter of Transmittal must be received by the Tender Agent at one of its addresses set forth on the back cover of the Offer to Purchase prior to the Expiration Time, or (ii) a securityholder’s ADSs must be delivered pursuant to the procedures for book-entry transfer described in the Offer to Purchase (and a properly completed and duly executed Letter of Transmittal), unless an Agent’s Message (as defined in the Offer to Purchase) confirming such delivery is received by the Tender Agent by the Expiration Time.</w:t>
      </w:r>
    </w:p>
    <w:p>
      <w:pPr>
        <w:spacing w:after="0" w:line="32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Tenders of ADSs made pursuant to the Offer may be withdrawn at any time prior to the Expiration Time. To withdraw tendered ADSs, securityholders must deliver a written notice of withdrawal to the Tender Agent within the prescribed time period at one of the addresses set forth in this Letter of Transmittal. If we have not accepted for payment the ADSs you have tendered to us, you may also withdraw your ADSs at any time after 12:00 Midnight, New York City time, at the end of the day on October 30, 2025, the completion of the 40th business day following the commencement of the Offer.</w:t>
      </w:r>
    </w:p>
    <w:p>
      <w:pPr>
        <w:spacing w:after="0" w:line="120"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Any notice of withdrawal must specify the name of the tendering securityholder, the number of ADSs to be withdrawn, and the name of the registered holder of such ADSs. Withdrawals may not be rescinded and any ADSs withdrawn will not be properly tendered for purposes of the Offer unless the withdrawn ADSs are properly re-tendered prior to the Expiration Time by following the procedures described above.</w:t>
      </w:r>
    </w:p>
    <w:p>
      <w:pPr>
        <w:spacing w:after="0" w:line="108" w:lineRule="exact"/>
        <w:rPr>
          <w:sz w:val="20"/>
          <w:szCs w:val="20"/>
          <w:color w:val="auto"/>
        </w:rPr>
      </w:pPr>
    </w:p>
    <w:p>
      <w:pPr>
        <w:ind w:left="1260" w:right="49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THE METHOD OF DELIVERY OF ADSs, THIS LETTER OF TRANSMITTAL AND ANY OTHER REQUIRED DOCUMENTS IS AT THE SOLE ELECTION AND RISK OF THE TENDERING SECURITYHOLDER. ADSs, AND THIS LETTER OF TRANSMITTAL AND ALL OTHER DOCUMENTS WILL BE DEEMED DELIVERED ONLY WHEN ACTUALLY RECEIVED BY THE TENDER AGENT. WHEN DELIVERING BY MAIL, WE RECOMMEND THAT YOU USE REGISTERED MAIL WITH RETURN RECEIPT REQUESTED, AND THAT YOU PROPERLY INSURE THE DOCUMENTS. IN ALL CASES, YOU SHOULD ALLOW SUFFICIENT TIME TO ENSURE TIMELY DELIVERY.</w:t>
      </w:r>
    </w:p>
    <w:p>
      <w:pPr>
        <w:spacing w:after="0" w:line="94"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Except as specifically provided by the Offer to Purchase, no alternative, conditional or contingent tenders will be accepted. No fractional ADSs will be purchased. All tendering securityholders, by execution of this Letter of Transmittal, waive any right to receive any notice of the acceptance for payment of their ADSs.</w:t>
      </w:r>
    </w:p>
    <w:p>
      <w:pPr>
        <w:spacing w:after="0" w:line="328" w:lineRule="exact"/>
        <w:rPr>
          <w:sz w:val="20"/>
          <w:szCs w:val="20"/>
          <w:color w:val="auto"/>
        </w:rPr>
      </w:pPr>
    </w:p>
    <w:p>
      <w:pPr>
        <w:ind w:left="1260" w:right="599" w:firstLine="360"/>
        <w:spacing w:after="0" w:line="268" w:lineRule="auto"/>
        <w:tabs>
          <w:tab w:leader="none" w:pos="187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in this Letter of Transmittal is inadequate,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ADSs should be listed on a separate signed schedule attached hereto. The same ADSs cannot be tendered more than once, unless previously properly withdrawn as provided in Section 4 of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60" w:lineRule="auto"/>
        <w:tabs>
          <w:tab w:leader="none" w:pos="1872"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Signatures on Letter of Transmittal, Stock Powers and Endorsements. </w:t>
      </w:r>
      <w:r>
        <w:rPr>
          <w:rFonts w:ascii="Times New Roman" w:cs="Times New Roman" w:eastAsia="Times New Roman" w:hAnsi="Times New Roman"/>
          <w:sz w:val="18"/>
          <w:szCs w:val="18"/>
          <w:color w:val="auto"/>
        </w:rPr>
        <w:t>If this Letter of Transmittal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registered holder(s) of ADSs tendered hereby, the signature(s) must correspond with the name(s) as written on a security position listing without any change or alteration whatsoever.</w:t>
      </w:r>
    </w:p>
    <w:p>
      <w:pPr>
        <w:spacing w:after="0" w:line="10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any of the ADSs tendered hereby are owned of record by two or more joint owners, all such persons must sign this Letter of Transmittal.</w:t>
      </w:r>
    </w:p>
    <w:p>
      <w:pPr>
        <w:spacing w:after="0" w:line="9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this Letter of Transmittal or any stock power is signed by a trustee, executor, administrator, guardian, attorney-in-fact, officer of a corporation or other person acting in a fiduciary or representative capacity, he or she should so indicate when signing and submit proper evidence satisfactory to the Company of his or her authority to so act.</w:t>
      </w:r>
    </w:p>
    <w:p>
      <w:pPr>
        <w:spacing w:after="0" w:line="110"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If this Letter of Transmittal is signed by the registered owner(s) of ADSs tendered hereby, no endorsements or separate stock powers are required unless payment of the purchase price is to be made to a person other than the registered owner(s). Signatures on any such stock powers must be guaranteed by an Eligible Institution.</w:t>
      </w:r>
    </w:p>
    <w:p>
      <w:pPr>
        <w:spacing w:after="0" w:line="323"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this Letter of Transmittal is signed by a person other than the registered owner(s) of ADSs tendered hereby, it must be accompanied by appropriate stock powers, in either case, signed exactly as the name(s) of the registered owner(s) appear(s) on the security position listing(s). The signature(s) on any such stock power(s) must be guaranteed by an Eligible Institution.</w:t>
      </w:r>
    </w:p>
    <w:p>
      <w:pPr>
        <w:spacing w:after="0" w:line="106" w:lineRule="exact"/>
        <w:rPr>
          <w:sz w:val="20"/>
          <w:szCs w:val="20"/>
          <w:color w:val="auto"/>
        </w:rPr>
      </w:pPr>
    </w:p>
    <w:p>
      <w:pPr>
        <w:ind w:left="1260" w:right="419" w:firstLine="360"/>
        <w:spacing w:after="0" w:line="245" w:lineRule="auto"/>
        <w:tabs>
          <w:tab w:leader="none" w:pos="187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Transfer Taxes. </w:t>
      </w:r>
      <w:r>
        <w:rPr>
          <w:rFonts w:ascii="Times New Roman" w:cs="Times New Roman" w:eastAsia="Times New Roman" w:hAnsi="Times New Roman"/>
          <w:sz w:val="18"/>
          <w:szCs w:val="18"/>
          <w:color w:val="auto"/>
        </w:rPr>
        <w:t>Except as otherwise provided in this Instruction 5, the Company will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transfer taxes with respect to the transfer and sale of ADSs to it pursuant to the Offer. If, however, payment of the purchase price for ADSs for payment is to be made to, or if ADSs not tendered or accepted for payment are to be registered in the name of, any person(s) other than the registered owner(s), or if ADSs tendered hereby are registered in the name(s) of any person(s) other than the person(s) signing this Letter of Transmittal, the amount of any share transfer taxes (whether imposed on the registered owner(s) or such other person(s)) will be payable on account of the transfer to such person(s) unless satisfactory evidence of the payment of such taxes or exemption from the payment of such taxes is submitted with this Letter of Transmittal.</w:t>
      </w:r>
    </w:p>
    <w:p>
      <w:pPr>
        <w:spacing w:after="0" w:line="32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Except as provided in this Instruction 5, it will not be necessary for transfer tax stamps to be affixed to this Letter of Transmittal.</w:t>
      </w:r>
    </w:p>
    <w:p>
      <w:pPr>
        <w:spacing w:after="0" w:line="91" w:lineRule="exact"/>
        <w:rPr>
          <w:sz w:val="20"/>
          <w:szCs w:val="20"/>
          <w:color w:val="auto"/>
        </w:rPr>
      </w:pPr>
    </w:p>
    <w:p>
      <w:pPr>
        <w:ind w:left="1260" w:right="439" w:firstLine="360"/>
        <w:spacing w:after="0" w:line="247" w:lineRule="auto"/>
        <w:tabs>
          <w:tab w:leader="none" w:pos="187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payment for the purchase price of any tendered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for payment is to be issued to, or in the name of, a person other than the signer of this Letter of Transmittal, or if payment is to be sent to a person other than the signer of this Letter of Transmittal or to an address other than that shown above, the appropriate boxes on this Letter of Transmittal should be completed (Item B and Item C).</w:t>
      </w:r>
    </w:p>
    <w:p>
      <w:pPr>
        <w:spacing w:after="0" w:line="109" w:lineRule="exact"/>
        <w:rPr>
          <w:rFonts w:ascii="Times New Roman" w:cs="Times New Roman" w:eastAsia="Times New Roman" w:hAnsi="Times New Roman"/>
          <w:sz w:val="18"/>
          <w:szCs w:val="18"/>
          <w:b w:val="1"/>
          <w:bCs w:val="1"/>
          <w:color w:val="auto"/>
        </w:rPr>
      </w:pPr>
    </w:p>
    <w:p>
      <w:pPr>
        <w:ind w:left="1260" w:right="439" w:firstLine="360"/>
        <w:spacing w:after="0" w:line="242" w:lineRule="auto"/>
        <w:tabs>
          <w:tab w:leader="none" w:pos="1869"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Conditions; Irregularities. </w:t>
      </w:r>
      <w:r>
        <w:rPr>
          <w:rFonts w:ascii="Times New Roman" w:cs="Times New Roman" w:eastAsia="Times New Roman" w:hAnsi="Times New Roman"/>
          <w:sz w:val="18"/>
          <w:szCs w:val="18"/>
          <w:color w:val="auto"/>
        </w:rPr>
        <w:t>All questions as to the number of ADSs to be accepted,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to be paid for ADSs to be accepted, the validity, form, eligibility (including time of receipt) and acceptance for payment of any tender of ADSs and the validity (including time of receipt) and form of any notice of withdrawal of tendered ADSs will be determined by the Company, in its sole discretion, subject to applicable laws, and such determination will be final and binding on all parties absent a finding to the contrary by a court of competent jurisdiction. The Company may delegate power in whole or in part to the Tender Agent. The Company reserves the absolute right to reject any or all tenders of any ADSs that the Company determines are not in proper form or the acceptance for payment of or payment for which may, in the opinion of the Company’s counsel, be unlawful. The Company reserves the absolute right to reject any notices of withdrawal that it determines are not in proper form. The Company also reserves the absolute right, subject to the applicable rules and regulations of the SEC, to waive any of the conditions of the Offer prior to the Expiration Time or any defect or irregularity in any tender or withdrawal with respect to any particular ADSs or any particular securityholder (whether or not the Company waives similar defects or irregularities in the case of other securityholders), and the Company’s interpretation of the terms of the Offer (including these instructions) will be final and binding on all parties absent a finding to the contrary by a court of competent jurisdiction. In the event a condition of the Offer is waived with respect to any particular securityholder, the same condition will be waived with respect to all securityholders. No tender or withdrawal of ADSs will be deemed to have been properly made until all defects or irregularities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 xml:space="preserve">cured by the tendering or withdrawing securityholder or waived by the Company. The Company will not be liable for failure to waive any condition of the Offer, or any defect or irregularity in any tender or withdrawal of ADSs. Unless waived, any defects or irregularities in connection with tenders or withdrawals must be cured within the period of time the Company determines. </w:t>
      </w:r>
      <w:r>
        <w:rPr>
          <w:rFonts w:ascii="Times New Roman" w:cs="Times New Roman" w:eastAsia="Times New Roman" w:hAnsi="Times New Roman"/>
          <w:sz w:val="18"/>
          <w:szCs w:val="18"/>
          <w:b w:val="1"/>
          <w:bCs w:val="1"/>
          <w:color w:val="auto"/>
        </w:rPr>
        <w:t>None of the Company, the Dealer Manager</w:t>
      </w:r>
    </w:p>
    <w:p>
      <w:pPr>
        <w:spacing w:after="0" w:line="3" w:lineRule="exact"/>
        <w:rPr>
          <w:sz w:val="20"/>
          <w:szCs w:val="20"/>
          <w:color w:val="auto"/>
        </w:rPr>
      </w:pPr>
    </w:p>
    <w:p>
      <w:pPr>
        <w:jc w:val="both"/>
        <w:ind w:left="1260" w:right="459"/>
        <w:spacing w:after="0"/>
        <w:rPr>
          <w:sz w:val="20"/>
          <w:szCs w:val="20"/>
          <w:color w:val="auto"/>
        </w:rPr>
      </w:pPr>
      <w:r>
        <w:rPr>
          <w:rFonts w:ascii="Times New Roman" w:cs="Times New Roman" w:eastAsia="Times New Roman" w:hAnsi="Times New Roman"/>
          <w:sz w:val="18"/>
          <w:szCs w:val="18"/>
          <w:b w:val="1"/>
          <w:bCs w:val="1"/>
          <w:color w:val="auto"/>
        </w:rPr>
        <w:t>(as defined below), the Information Agent, the Tender Agent or any other person will be obligated to give notice of any defects or irregularities in any tender or withdrawal, nor will any of the foregoing incur any liability for failure to give any such notification.</w:t>
      </w:r>
    </w:p>
    <w:p>
      <w:pPr>
        <w:spacing w:after="0" w:line="113" w:lineRule="exact"/>
        <w:rPr>
          <w:sz w:val="20"/>
          <w:szCs w:val="20"/>
          <w:color w:val="auto"/>
        </w:rPr>
      </w:pPr>
    </w:p>
    <w:p>
      <w:pPr>
        <w:ind w:left="1260" w:right="479" w:firstLine="360"/>
        <w:spacing w:after="0" w:line="242" w:lineRule="auto"/>
        <w:tabs>
          <w:tab w:leader="none" w:pos="187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Backup Withholding. </w:t>
      </w:r>
      <w:r>
        <w:rPr>
          <w:rFonts w:ascii="Times New Roman" w:cs="Times New Roman" w:eastAsia="Times New Roman" w:hAnsi="Times New Roman"/>
          <w:sz w:val="18"/>
          <w:szCs w:val="18"/>
          <w:color w:val="auto"/>
        </w:rPr>
        <w:t>Under U.S. federal income tax laws, the Depository will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 a portion of the amount of any payments made to certain shareholders (or other payees) pursuant to the Offer, as applicable. In order to avoid backup withholding of U.S. federal income tax on payments of cash pursuant to the Offer, a U.S. Holder (as defined below) tendering ADSs in the Offer must provide the Tender Agent or other applicable withholding agent with such U.S. Holder’s correct taxpayer identification number (“</w:t>
      </w:r>
      <w:r>
        <w:rPr>
          <w:rFonts w:ascii="Times New Roman" w:cs="Times New Roman" w:eastAsia="Times New Roman" w:hAnsi="Times New Roman"/>
          <w:sz w:val="18"/>
          <w:szCs w:val="18"/>
          <w:b w:val="1"/>
          <w:bCs w:val="1"/>
          <w:color w:val="auto"/>
        </w:rPr>
        <w:t>TIN</w:t>
      </w:r>
      <w:r>
        <w:rPr>
          <w:rFonts w:ascii="Times New Roman" w:cs="Times New Roman" w:eastAsia="Times New Roman" w:hAnsi="Times New Roman"/>
          <w:sz w:val="18"/>
          <w:szCs w:val="18"/>
          <w:color w:val="auto"/>
        </w:rPr>
        <w:t>”) (i.e., social security number or employer identification number) on a duly completed and properly executed IRS Form W-9, a copy of which can be obtained from the Tender Agent or from the IRS website (www.irs.gov), and certify under penalties of perjury that (i) the TIN provided is correct, (ii) (a) the U.S. Holder is exempt from backup withholding, (b) the U.S. Holder has not been notified by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that such U.S. Holder is subject to backup withholding as a result of a failure to report all interest or dividends, or (c) the IRS has notified the U.S. Holder that such U.S. Holder is no longer subject to backup withholding, and (iii) the U.S. Holder is a U.S. citizen or other U.S. person (as defined in the instructions to IRS Form W-9). If a U.S. Holder does not provide a correct TIN or fails to provide the certifications described above, the payment of cash to such U.S. Holder pursuant to the Offer would be subject to backup withholding at the applicable statutory rate (currently 24%).</w:t>
      </w:r>
    </w:p>
    <w:p>
      <w:pPr>
        <w:spacing w:after="0" w:line="12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is any securityholder that for U.S. federal income tax purposes is (i) an individual who is a citizen or resident alien of the United States, (ii) a corporation or other entity treated as a corporation created or organized under the laws of the United States, (iii) an estate the income of which is subject to U.S. federal income tax regardless of its source or (iv) a trust if (a) a court within the United States is able to exercise primary supervision over the administration of the trust, and one or more U.S. persons have the authority to control all substantial decisions of the trust or (b) it has a valid election in effect to be treated as a U.S. person.</w:t>
      </w:r>
    </w:p>
    <w:p>
      <w:pPr>
        <w:spacing w:after="0" w:line="3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ADSs,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ADSs, you are urged to consult with your tax advisor regarding the tax consequences of the purchase, ownership and disposition of ADSs.</w:t>
      </w:r>
    </w:p>
    <w:p>
      <w:pPr>
        <w:spacing w:after="0" w:line="114"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Rather, the amount of the backup withholding can be credited against the U.S. federal income tax liability of the person subject to the backup withholding, provided that the required information is timely filed with the IRS. If backup withholding results in an overpayment of tax, a refund can be obtained upon timely filing an income tax return.</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ADSs are held in more than one name or are not in the name of the actual owner, consult the instructions to IRS Form W-9 for guidance on which number to report. If a U.S. Holder has not been issued a TIN and has applied for one or intends to apply for one in the near future, such U.S. Holder should consult the instructions to IRS Form W-9 for guidance on how to complete IRS Form W-9.</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Non-U.S. Holders (as defined below) must provide the Tender Agent or other applicable withholding agent with a duly completed and properly executed IRS Form W-8BEN, W-8BEN-E or other applicable IRS Form W-8 in order to avoid backup withholding. A copy of the appropriate IRS Form W-8 may be obtained from the Tender Agent or from the IRS website (www.irs.gov).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is a securityholder that is not a U.S. Holder.</w:t>
      </w:r>
    </w:p>
    <w:p>
      <w:pPr>
        <w:spacing w:after="0" w:line="110" w:lineRule="exact"/>
        <w:rPr>
          <w:sz w:val="20"/>
          <w:szCs w:val="20"/>
          <w:color w:val="auto"/>
        </w:rPr>
      </w:pPr>
    </w:p>
    <w:p>
      <w:pPr>
        <w:jc w:val="both"/>
        <w:ind w:left="1260" w:right="3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Each Holder is urged to consult its tax advisors for further guidance regarding the completion of IRS Form W-9, IRS Form W-8BEN, IRS Form W-8BEN-E or another version of IRS Form W-8 to claim exemption from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568960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firstLine="360"/>
        <w:spacing w:after="0" w:line="259" w:lineRule="auto"/>
        <w:tabs>
          <w:tab w:leader="none" w:pos="1872"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If you have questions or need assistance, you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contact the Information Agent or Needham &amp; Company, LLC (the “Dealer Manager”) at their respective addresses and telephone numbers set forth on Schedule I to the Offer to Purchase. If you require additional copies of the Offer to Purchase, this Letter of Transmittal, the IRS Form W-9 or other related materials, you should contact the Information Agent. Copies will be furnished promptly at the Company’s expense.</w:t>
      </w:r>
    </w:p>
    <w:p>
      <w:pPr>
        <w:spacing w:after="0" w:line="111" w:lineRule="exact"/>
        <w:rPr>
          <w:rFonts w:ascii="Times New Roman" w:cs="Times New Roman" w:eastAsia="Times New Roman" w:hAnsi="Times New Roman"/>
          <w:sz w:val="18"/>
          <w:szCs w:val="18"/>
          <w:b w:val="1"/>
          <w:bCs w:val="1"/>
          <w:color w:val="auto"/>
        </w:rPr>
      </w:pPr>
    </w:p>
    <w:p>
      <w:pPr>
        <w:ind w:left="1260" w:right="419" w:firstLine="360"/>
        <w:spacing w:after="0" w:line="253" w:lineRule="auto"/>
        <w:tabs>
          <w:tab w:leader="none" w:pos="195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Odd Lots. </w:t>
      </w:r>
      <w:r>
        <w:rPr>
          <w:rFonts w:ascii="Times New Roman" w:cs="Times New Roman" w:eastAsia="Times New Roman" w:hAnsi="Times New Roman"/>
          <w:sz w:val="18"/>
          <w:szCs w:val="18"/>
          <w:color w:val="auto"/>
        </w:rPr>
        <w:t>If the Company is to purchase fewer than all Class A Ordinary Shares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represented by ADSs) validly tendered and not validly withdrawn prior to the Expiration Time, the Class A Ordinary Shares (including Class A Ordinary Shares represented by ADSs) purchased first will consist of all Class A Ordinary Shares (including Class A Ordinary Shares represented by ADSs) validly tendered and not validly withdrawn prior to the Expiration Time by any securityholder who held or beneficially owned, a total of fewer than 100 Class A Ordinary Shares (including Class A Ordinary Shares represented by ADSs), and who tenders all such Class A Ordinary Shares (including Class A Ordinary Shares represented by ADSs) in accordance with the procedures described in Section 3 of the Offer to Purchase. This preference will not be available to you unless you complete the section captioned “Odd Lots” in this Letter of Transmittal. This preference is not available to partial tenders or registered holders or beneficial owners of 100 or more Class A Ordinary Shares (including Class A Ordinary Shares represented by ADSs) in the aggregate, even if these holders have separate accounts representing fewer than 100 Class A Ordinary Shares (including Class A Ordinary Shares represented by ADSs).</w:t>
      </w:r>
    </w:p>
    <w:p>
      <w:pPr>
        <w:spacing w:after="0" w:line="119" w:lineRule="exact"/>
        <w:rPr>
          <w:rFonts w:ascii="Times New Roman" w:cs="Times New Roman" w:eastAsia="Times New Roman" w:hAnsi="Times New Roman"/>
          <w:sz w:val="18"/>
          <w:szCs w:val="18"/>
          <w:b w:val="1"/>
          <w:bCs w:val="1"/>
          <w:color w:val="auto"/>
        </w:rPr>
      </w:pPr>
    </w:p>
    <w:p>
      <w:pPr>
        <w:ind w:left="1260" w:right="579" w:firstLine="360"/>
        <w:spacing w:after="0" w:line="262" w:lineRule="auto"/>
        <w:tabs>
          <w:tab w:leader="none" w:pos="194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 of Purchase in Event of Proration. </w:t>
      </w:r>
      <w:r>
        <w:rPr>
          <w:rFonts w:ascii="Times New Roman" w:cs="Times New Roman" w:eastAsia="Times New Roman" w:hAnsi="Times New Roman"/>
          <w:sz w:val="18"/>
          <w:szCs w:val="18"/>
          <w:color w:val="auto"/>
        </w:rPr>
        <w:t>As described in Section 1 of the Offer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securityholders may designate the order in which their ADSs are to be purchased in the event of proration. The order of purchase may have an effect on the U.S. federal income tax classification and the amount of any gain or loss on ADSs purchased. See Section 1 and Section 12 of the Offer to Purchase.</w:t>
      </w:r>
    </w:p>
    <w:p>
      <w:pPr>
        <w:spacing w:after="0" w:line="9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IMPORTANT</w:t>
      </w:r>
      <w:r>
        <w:rPr>
          <w:rFonts w:ascii="Times New Roman" w:cs="Times New Roman" w:eastAsia="Times New Roman" w:hAnsi="Times New Roman"/>
          <w:sz w:val="17"/>
          <w:szCs w:val="17"/>
          <w:b w:val="1"/>
          <w:bCs w:val="1"/>
          <w:color w:val="auto"/>
        </w:rPr>
        <w:t>: THIS LETTER OF TRANSMITTAL, TOGETHER WITH ANY REQUIRED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SIGNATURE GUARANTEES, AND ANY OTHER REQUIRED DOCUMENTS, MUST BE RECEIVED BY THE TENDER AGENT PRIOR TO THE EXPIRATION TIME, OR THE TENDERING SECURITYHOLDER MUST COMPLY WITH THE PROCEDURES FOR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4278630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Class A Instruction Form</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Maples Fund Services (Cayman) Limited (the “Registrar”)</w:t>
      </w:r>
    </w:p>
    <w:p>
      <w:pPr>
        <w:ind w:left="1260"/>
        <w:spacing w:after="0" w:line="220" w:lineRule="auto"/>
        <w:rPr>
          <w:sz w:val="20"/>
          <w:szCs w:val="20"/>
          <w:color w:val="auto"/>
        </w:rPr>
      </w:pPr>
      <w:r>
        <w:rPr>
          <w:rFonts w:ascii="Times New Roman" w:cs="Times New Roman" w:eastAsia="Times New Roman" w:hAnsi="Times New Roman"/>
          <w:sz w:val="18"/>
          <w:szCs w:val="18"/>
          <w:color w:val="auto"/>
        </w:rPr>
        <w:t>c/o Maples Fund Services (Asia) Limited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Central Plaza, 18 Harbour Road, Wanchai, Hong Kong</w:t>
      </w:r>
    </w:p>
    <w:p>
      <w:pPr>
        <w:spacing w:after="0" w:line="15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IMMEDIATE ATTENTION REQUIRED</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 Tender Offer by Moatable, Inc.</w:t>
      </w:r>
    </w:p>
    <w:p>
      <w:pPr>
        <w:ind w:left="1260"/>
        <w:spacing w:after="0"/>
        <w:rPr>
          <w:sz w:val="20"/>
          <w:szCs w:val="20"/>
          <w:color w:val="auto"/>
        </w:rPr>
      </w:pPr>
      <w:r>
        <w:rPr>
          <w:rFonts w:ascii="Times New Roman" w:cs="Times New Roman" w:eastAsia="Times New Roman" w:hAnsi="Times New Roman"/>
          <w:sz w:val="18"/>
          <w:szCs w:val="18"/>
          <w:b w:val="1"/>
          <w:bCs w:val="1"/>
          <w:color w:val="auto"/>
        </w:rPr>
        <w:t>RESPONSE DUE BY 30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SEPTEMBER 2025, EASTERN TIME</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Securityholder:</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September 3, 2025 (together with any amendments or supplements thereto,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in connection with the offer by Moatable, Inc., an exempted company incorporated under the laws of the Cayman Islands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Moatable,</w:t>
      </w:r>
      <w:r>
        <w:rPr>
          <w:rFonts w:ascii="Times New Roman" w:cs="Times New Roman" w:eastAsia="Times New Roman" w:hAnsi="Times New Roman"/>
          <w:sz w:val="18"/>
          <w:szCs w:val="18"/>
          <w:color w:val="auto"/>
        </w:rPr>
        <w:t>”), to purchase up to 225,000,000 Class A ordinary shares, par value $0.001 per share (“</w:t>
      </w:r>
      <w:r>
        <w:rPr>
          <w:rFonts w:ascii="Times New Roman" w:cs="Times New Roman" w:eastAsia="Times New Roman" w:hAnsi="Times New Roman"/>
          <w:sz w:val="18"/>
          <w:szCs w:val="18"/>
          <w:b w:val="1"/>
          <w:bCs w:val="1"/>
          <w:i w:val="1"/>
          <w:iCs w:val="1"/>
          <w:color w:val="auto"/>
        </w:rPr>
        <w:t>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(including Class A Ordinary Shares represented by any American Depositary Shares (the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each representing 45 Class A Ordinary Shares), at a price of $3.00/45 per Class A Ordinary Share (or $3.00 per ADS)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net to the seller in cash, less any applicable withholding taxes, without interest, and with respect to ADSs a cash distribution fee of $0.05 per ADS accepted for purchase in the Offer (as defined below) that will be paid to Citibank, N.A., the Company’s ADS depositary, upon the terms and subject to the conditions described in the Offer to Purchase and other related materials as may be amended or supplemented from time to time (collectively, with the Offer to Purchase, the</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The Offer will expire at 12:00 midnight, New York City time, at the end of the day on September 30, 2025, unless the Offer is extended or terminated by us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xml:space="preserve">”). You must return the Instruction Form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to Maples Fund Services (Cayman) Limited by</w:t>
      </w: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30th September 2025, EASTERN TIME </w:t>
      </w:r>
      <w:r>
        <w:rPr>
          <w:rFonts w:ascii="Times New Roman" w:cs="Times New Roman" w:eastAsia="Times New Roman" w:hAnsi="Times New Roman"/>
          <w:sz w:val="18"/>
          <w:szCs w:val="18"/>
          <w:color w:val="auto"/>
        </w:rPr>
        <w:t>to participate in the Offer.</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Capitalized terms used herein and not defined herein shall have the meanings given to them in the Offer to Purchase. The description of the Offer in this letter is only a summary and is qualified by all of the terms and conditions of the Offer set forth in the Offer to Purchase and other related materials, which are available to the public on the United States Securities and Exchange Commission’s website at www.sec.gov.</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if 225,000,000 Class A Ordinary Shares (including Class A Ordinary Shares represented by ADSs) or less are properly tendered and not properly withdrawn prior to the Expiration Time, the Company will purchase all Class A Ordinary Shares (including Class A Ordinary Shares represented by ADSs) properly tendered and not properly withdrawn. Class A Ordinary Shares (including Class A Ordinary Shares represented by ADSs) acquired, if any, in the Offer will be acquired at the Purchase Price. Only Class A Ordinary Shares (including Class A Ordinary Shares represented by ADSs) properly tendered and not properly withdrawn will be purchased. However, because of proration and the “odd lot” priority and provisions described in the Offer to Purchase, the Company may not purchase all of the Class A Ordinary Shares (including Class A Ordinary Shares represented by ADSs) tendered if more than 225,000,000 Class A Ordinary Shares (including Class A Ordinary Shares represented by ADSs) are properly tendered and not properly withdrawn. Class A Ordinary Shares (including Class A Ordinary Shares represented by ADSs) not purchased in the Offer will be returned to the tendering securityholders as promptly as practicable after the Expiration Time.</w:t>
      </w:r>
    </w:p>
    <w:p>
      <w:pPr>
        <w:spacing w:after="0" w:line="12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expressly reserves the right, in its sole discretion, to change the Purchase Price and to increase or decrease the number of Class A Ordinary Shares (including Class A Ordinary Shares represented by ADSs) sought in the Offer, subject to applicable law. In accordance with the rules of the Securities and Exchange Commission, if more than 225,000,000 Class A Ordinary Shares (including Class A Ordinary Shares represented by ADSs) are properly tendered in the Offer and not properly withdrawn, the Company may increase the number of Class A Ordinary Shares (including Class A Ordinary Shares represented by ADSs) accepted for payment in the Offer by no more than 2% of the outstanding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585470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(including Class A Ordinary Shares represented by ADSs) without extending the Offer. However, if the Company purchases an additional number of Class A Ordinary Shares (including Class A Ordinary Shares represented by ADSs) in excess of 2% of the outstanding Class A Ordinary Shares (including Class A Ordinary Shares represented by ADSs), the Company will amend and extend the Offer to the extent required by applicable law.</w:t>
      </w:r>
    </w:p>
    <w:p>
      <w:pPr>
        <w:spacing w:after="0" w:line="11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Offer is for Class A Ordinary Shares (including Class A Ordinary Shares represented by ADSs). Tender of any other securities, including vested options without following the procedures noted in the Offer to Purchase, will not be accepted and returned to the tendering securityholders at our expense promptly after the expiration or termination of the Offer.</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holder of Class A Ordinary Shares not held in the form of ADSs, you may tender your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Ordinary Shares in either of the following manners:</w:t>
      </w:r>
    </w:p>
    <w:p>
      <w:pPr>
        <w:spacing w:after="0" w:line="99" w:lineRule="exact"/>
        <w:rPr>
          <w:sz w:val="20"/>
          <w:szCs w:val="20"/>
          <w:color w:val="auto"/>
        </w:rPr>
      </w:pPr>
    </w:p>
    <w:p>
      <w:pPr>
        <w:ind w:left="1800" w:right="419" w:hanging="180"/>
        <w:spacing w:after="0" w:line="25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first deposit such Class A Ordinary Shares with the ADS Depositary, subject to the terms and conditions set forth in the that certain Deposit Agreement, dated as of May 4, 2011, as amended by Amendment No. 1 to Deposit Agreement, dated as of February 6, 2017 and as amended by Amendment No. 2 to Deposit Agreement, dated as of January 9, 2020 (as amended and supplemented from time to time, the “</w:t>
      </w:r>
      <w:r>
        <w:rPr>
          <w:rFonts w:ascii="Times New Roman" w:cs="Times New Roman" w:eastAsia="Times New Roman" w:hAnsi="Times New Roman"/>
          <w:sz w:val="18"/>
          <w:szCs w:val="18"/>
          <w:b w:val="1"/>
          <w:bCs w:val="1"/>
          <w:i w:val="1"/>
          <w:iCs w:val="1"/>
          <w:color w:val="auto"/>
        </w:rPr>
        <w:t>Deposit Agreement</w:t>
      </w:r>
      <w:r>
        <w:rPr>
          <w:rFonts w:ascii="Times New Roman" w:cs="Times New Roman" w:eastAsia="Times New Roman" w:hAnsi="Times New Roman"/>
          <w:sz w:val="18"/>
          <w:szCs w:val="18"/>
          <w:color w:val="auto"/>
        </w:rPr>
        <w:t xml:space="preserve">”), by and among the Company, the ADS Depositary, and all Holders and Beneficial Owners (each as defined in the Deposit Agreement) of ADSs issued thereunder, in exchange for the issuance, by the ADS Depositary, of the corresponding ADSs and complete and submit the Letter of Transmittal with respect to ADSs. The Company has agreed to pay any issuance fee payable to the ADS Depositary for the issuance of ADSs in connection with the Offer. </w:t>
      </w:r>
      <w:r>
        <w:rPr>
          <w:rFonts w:ascii="Times New Roman" w:cs="Times New Roman" w:eastAsia="Times New Roman" w:hAnsi="Times New Roman"/>
          <w:sz w:val="18"/>
          <w:szCs w:val="18"/>
          <w:b w:val="1"/>
          <w:bCs w:val="1"/>
          <w:i w:val="1"/>
          <w:iCs w:val="1"/>
          <w:color w:val="auto"/>
        </w:rPr>
        <w:t>Please provide yourself sufficient time to complete the process to deposit your Class A Ordinary</w:t>
      </w:r>
    </w:p>
    <w:p>
      <w:pPr>
        <w:spacing w:after="0" w:line="5" w:lineRule="exact"/>
        <w:rPr>
          <w:rFonts w:ascii="Times New Roman" w:cs="Times New Roman" w:eastAsia="Times New Roman" w:hAnsi="Times New Roman"/>
          <w:sz w:val="18"/>
          <w:szCs w:val="18"/>
          <w:color w:val="auto"/>
        </w:rPr>
      </w:pPr>
    </w:p>
    <w:p>
      <w:pPr>
        <w:ind w:left="1800" w:right="41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Shares with Citibank, N.A., as ADS Depositary, in exchange for ADSs. Please be advised that the ADS Depositary will close its books to ADS issuances five (5) business days prior to the Expiration Time. Accordingly, if you are a holder of Class A Ordinary Shares and you wish to receive corresponding ADSs to participate in the Offer, you must deposit your Class A Ordinary Shares with the ADS Depositary at least five</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(5) business days prior to Expiration Time. </w:t>
      </w: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800" w:right="699" w:hanging="180"/>
        <w:spacing w:after="0" w:line="263"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complete and submit the Instruction Form with respect to Class A Ordinary Shares to Maples Fund Services (Cayman) Limited, the Company’s registrar (the “Registrar”) and, if your Class A Ordinary Shares are in certificated form, include such certificate(s) with the Class A Instruction Form.</w:t>
      </w:r>
    </w:p>
    <w:p>
      <w:pPr>
        <w:spacing w:after="0" w:line="319"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If you are a holder of vested options, you may exercise your vested options and receive Class A Ordinary Shares, which you may then tender as described above for Class A Ordinary Shares. You must exercise your options sufficiently in advance of the Expiration Time to receive your Class A Ordinary Shares in order to tender. An exercise of an option cannot be revoked even if Class A Ordinary Shares received upon the exercise thereof and tendered in the Offer are not purchased in the Offer for any reason.</w:t>
      </w:r>
    </w:p>
    <w:p>
      <w:pPr>
        <w:spacing w:after="0" w:line="11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Reminder of Page Internationally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2714625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INSTRUCTION FORM FOR CLASS A ORDINARY SHARES NOT HELD IN THE FORM OF ADSs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September 3, 2025 (together with any amendments or supplements thereto,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and other related materials (together with any amendments or supplements thereto and the Offer to Purchase,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in connection with the offer by Moatable, Inc., an exempted company incorporated under the laws of the Cayman Islands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purchase up to 225,000,000 Class A ordinary shares, par value $0.001 per share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(including Class A Ordinary Shares represented by American Depositary Shares (the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 of the Company, each representing 45 Class A Ordinary Shares), at a price of $3.00/45 per Class A Ordinary Share (or $3.00 per ADS)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net to the seller in cash, less any applicable withholding taxes, without interest, and with respect to ADSs, less a cash distribution fee of $0.05 per ADS accepted for purchase in the Offer that will be paid to Citibank, N.A., the Company’s ADS depositary, upon the terms and subject to the conditions of the Offer. Capitalized terms used herein and not defined herein shall have the meanings given to them in the Offer to Purchase.</w:t>
      </w:r>
    </w:p>
    <w:p>
      <w:pPr>
        <w:spacing w:after="0" w:line="11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undersigned hereby instruct(s) you to tender to the Company the number of Class A Ordinary Shares indicated below, or, if no number is specified, all Class A Ordinary Shares you hold for the account of the undersigned, at the price per Class A Ordinary Share indicated below, upon the terms and subject to the conditions of the Offer.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Aggregate Number Of Class A Ordinary Shares To Be Tendered By You For The Account Of The Undersigned:</w:t>
      </w:r>
    </w:p>
    <w:p>
      <w:pPr>
        <w:spacing w:after="0" w:line="169" w:lineRule="exact"/>
        <w:rPr>
          <w:sz w:val="20"/>
          <w:szCs w:val="20"/>
          <w:color w:val="auto"/>
        </w:rPr>
      </w:pPr>
    </w:p>
    <w:p>
      <w:pPr>
        <w:ind w:left="1360" w:hanging="100"/>
        <w:spacing w:after="0"/>
        <w:tabs>
          <w:tab w:leader="none" w:pos="1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918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spacing w:after="0" w:line="205" w:lineRule="exact"/>
        <w:rPr>
          <w:sz w:val="20"/>
          <w:szCs w:val="20"/>
          <w:color w:val="auto"/>
        </w:rPr>
      </w:pPr>
    </w:p>
    <w:p>
      <w:pPr>
        <w:ind w:left="1260" w:right="679"/>
        <w:spacing w:after="0" w:line="271" w:lineRule="auto"/>
        <w:tabs>
          <w:tab w:leader="none" w:pos="1388"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Unless otherwise indicated, it will be assumed that all Class A Ordinary Shares held by us for your account are to be tendered.</w:t>
      </w:r>
    </w:p>
    <w:p>
      <w:pPr>
        <w:spacing w:after="0" w:line="15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ODD LOTS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As described in Section 1 of the Offer to Purchase, under certain conditions, holders of a total of fewer than 100 Class A Ordinary Shares (including Class A Ordinary Shares represented by ADSs) may have their tendered Class A Ordinary Shares (including Class A Ordinary Shares represented by ADSs) accepted for payment before any proration of other tendered Class A Ordinary Shares (including Class A Ordinary Shares represented by ADSs). This preference is not available to partial tenders or registered holders or beneficial owners of 100 or more Class A Ordinary Shares (including Class A Ordinary Shares represented by ADSs) in the aggregate, even if these holders have separate accounts or certificates representing fewer than 100 Class A Ordinary Shares (including Class A Ordinary Shares represented by ADSs). </w:t>
      </w:r>
      <w:r>
        <w:rPr>
          <w:rFonts w:ascii="Times New Roman" w:cs="Times New Roman" w:eastAsia="Times New Roman" w:hAnsi="Times New Roman"/>
          <w:sz w:val="18"/>
          <w:szCs w:val="18"/>
          <w:b w:val="1"/>
          <w:bCs w:val="1"/>
          <w:color w:val="auto"/>
        </w:rPr>
        <w:t>Accordingly, this 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is to be completed only if </w:t>
      </w:r>
      <w:r>
        <w:rPr>
          <w:rFonts w:ascii="Times New Roman" w:cs="Times New Roman" w:eastAsia="Times New Roman" w:hAnsi="Times New Roman"/>
          <w:sz w:val="18"/>
          <w:szCs w:val="18"/>
          <w:color w:val="auto"/>
        </w:rPr>
        <w:t>Class A Ordinary Shares (including Class A Ordinary Shares represented by ADSs)</w:t>
      </w:r>
    </w:p>
    <w:p>
      <w:pPr>
        <w:spacing w:after="0" w:line="3"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are being tendered by or on behalf of a person who held or beneficially owned, as of the close of business on the date set forth on the signature page hereto, and who continues to hold or beneficially own, as of the Expiration Time, an aggregate of fewer than 100 </w:t>
      </w:r>
      <w:r>
        <w:rPr>
          <w:rFonts w:ascii="Times New Roman" w:cs="Times New Roman" w:eastAsia="Times New Roman" w:hAnsi="Times New Roman"/>
          <w:sz w:val="18"/>
          <w:szCs w:val="18"/>
          <w:color w:val="auto"/>
        </w:rPr>
        <w:t>Class A Ordinary Shares (including Class A 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ADSs)</w:t>
      </w:r>
      <w:r>
        <w:rPr>
          <w:rFonts w:ascii="Times New Roman" w:cs="Times New Roman" w:eastAsia="Times New Roman" w:hAnsi="Times New Roman"/>
          <w:sz w:val="18"/>
          <w:szCs w:val="18"/>
          <w:b w:val="1"/>
          <w:bCs w:val="1"/>
          <w:color w:val="auto"/>
        </w:rPr>
        <w:t>.</w:t>
      </w:r>
    </w:p>
    <w:p>
      <w:pPr>
        <w:spacing w:after="0" w:line="115" w:lineRule="exact"/>
        <w:rPr>
          <w:sz w:val="20"/>
          <w:szCs w:val="20"/>
          <w:color w:val="auto"/>
        </w:rPr>
      </w:pPr>
    </w:p>
    <w:p>
      <w:pPr>
        <w:ind w:left="1260" w:right="499" w:firstLine="360"/>
        <w:spacing w:after="0" w:line="227" w:lineRule="exact"/>
        <w:rPr>
          <w:sz w:val="20"/>
          <w:szCs w:val="20"/>
          <w:color w:val="auto"/>
        </w:rPr>
      </w:pPr>
      <w:r>
        <w:rPr>
          <w:rFonts w:ascii="Times New Roman" w:cs="Times New Roman" w:eastAsia="Times New Roman" w:hAnsi="Times New Roman"/>
          <w:sz w:val="18"/>
          <w:szCs w:val="18"/>
          <w:color w:val="auto"/>
        </w:rPr>
        <w:t xml:space="preserve">By checking the following checkbox, the undersigned hereby represents that the undersigned held or beneficially owned of an aggregate of fewer than 100 Class A Ordinary Shares (including Class A Ordinary Shares represented by ADSs) and is tendering all of such Class A Ordinary Shares (including Class A Ordinary Shares represented by ADSs): </w:t>
      </w:r>
      <w:r>
        <w:rPr>
          <w:rFonts w:ascii="MS PGothic" w:cs="MS PGothic" w:eastAsia="MS PGothic" w:hAnsi="MS PGothic"/>
          <w:sz w:val="18"/>
          <w:szCs w:val="18"/>
          <w:color w:val="auto"/>
          <w:highlight w:val="black"/>
        </w:rPr>
        <w:t>☐</w:t>
      </w:r>
    </w:p>
    <w:p>
      <w:pPr>
        <w:spacing w:after="0" w:line="88"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shareholder. If delivery is by mail, then registered mail with return receipt requested, properly insured, is recommended. In all cases, sufficient time should be allowed to ensure timely delivery.</w:t>
      </w:r>
    </w:p>
    <w:p>
      <w:pPr>
        <w:spacing w:after="0" w:line="103"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Company’s Board of Directors has authorized the Company to make the Offer. However, none of the Company, any of the members of its Board of Directors, Georgeson LLC, the information agent for the Offer (the “</w:t>
      </w:r>
      <w:r>
        <w:rPr>
          <w:rFonts w:ascii="Times New Roman" w:cs="Times New Roman" w:eastAsia="Times New Roman" w:hAnsi="Times New Roman"/>
          <w:sz w:val="17"/>
          <w:szCs w:val="17"/>
          <w:b w:val="1"/>
          <w:bCs w:val="1"/>
          <w:i w:val="1"/>
          <w:iCs w:val="1"/>
          <w:color w:val="auto"/>
        </w:rPr>
        <w:t>Information Agent”</w:t>
      </w:r>
      <w:r>
        <w:rPr>
          <w:rFonts w:ascii="Times New Roman" w:cs="Times New Roman" w:eastAsia="Times New Roman" w:hAnsi="Times New Roman"/>
          <w:sz w:val="17"/>
          <w:szCs w:val="17"/>
          <w:b w:val="1"/>
          <w:bCs w:val="1"/>
          <w:color w:val="auto"/>
        </w:rPr>
        <w:t>), the Registrar, or Needham &amp; Company, LLC, the dealer manager for the Offer (the “</w:t>
      </w:r>
      <w:r>
        <w:rPr>
          <w:rFonts w:ascii="Times New Roman" w:cs="Times New Roman" w:eastAsia="Times New Roman" w:hAnsi="Times New Roman"/>
          <w:sz w:val="17"/>
          <w:szCs w:val="17"/>
          <w:b w:val="1"/>
          <w:bCs w:val="1"/>
          <w:i w:val="1"/>
          <w:iCs w:val="1"/>
          <w:color w:val="auto"/>
        </w:rPr>
        <w:t>Dealer Manager</w:t>
      </w:r>
      <w:r>
        <w:rPr>
          <w:rFonts w:ascii="Times New Roman" w:cs="Times New Roman" w:eastAsia="Times New Roman" w:hAnsi="Times New Roman"/>
          <w:sz w:val="17"/>
          <w:szCs w:val="17"/>
          <w:b w:val="1"/>
          <w:bCs w:val="1"/>
          <w:color w:val="auto"/>
        </w:rPr>
        <w:t>”) makes any recommendation to securityholders as to whether they should tender or refrain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575310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72" w:lineRule="auto"/>
        <w:rPr>
          <w:sz w:val="20"/>
          <w:szCs w:val="20"/>
          <w:color w:val="auto"/>
        </w:rPr>
      </w:pPr>
      <w:r>
        <w:rPr>
          <w:rFonts w:ascii="Times New Roman" w:cs="Times New Roman" w:eastAsia="Times New Roman" w:hAnsi="Times New Roman"/>
          <w:sz w:val="17"/>
          <w:szCs w:val="17"/>
          <w:b w:val="1"/>
          <w:bCs w:val="1"/>
          <w:color w:val="auto"/>
        </w:rPr>
        <w:t>from tendering their Class A Ordinary Shares (including Class A Ordinary Shares represented by ADSs). None of the Company, any of the members of its Board of Directors, the Information Agent, the Registrar or the Dealer Manager has authorized any person to make any recommendation to you as to whether you should tender or refrain from tendering your Class A Ordinary Shares (including Class A Ordinary Shares represented by ADSs). Securityholders should carefully evaluate all information in the Offer to Purchase, consult their own financial and tax advisors and make their own decisions about whether to tender or refrain from tendering your Class A Ordinary Shares (including Class A Ordinary Shares represented by ADSs) and, if deciding to tender and how many Class A Ordinary Shares (including Class A Ordinary Shares represented by ADSs) to tender.</w:t>
      </w:r>
    </w:p>
    <w:p>
      <w:pPr>
        <w:spacing w:after="0" w:line="108"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I understand that if I sign, date and return this Instruction Form but do not provide Maples Fund Services (Cayman) Limited and Moatable with direction, Moatable will treat this action as an instruction by me not to tender the Class A Ordinary Shares held by me.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-7620</wp:posOffset>
            </wp:positionV>
            <wp:extent cx="27432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-16510</wp:posOffset>
            </wp:positionV>
            <wp:extent cx="25800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Taxpayer Identification or</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Social Security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-7620</wp:posOffset>
            </wp:positionV>
            <wp:extent cx="21170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Address(es): 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-7620</wp:posOffset>
            </wp:positionV>
            <wp:extent cx="24688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Daytime Telephone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-16510</wp:posOffset>
            </wp:positionV>
            <wp:extent cx="19888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-7620</wp:posOffset>
            </wp:positionV>
            <wp:extent cx="2802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Return this form to:</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Maples Fund Services (Cayman) Limited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 Maples Fund Servies (Asia) Limited</w:t>
      </w:r>
    </w:p>
    <w:p>
      <w:pPr>
        <w:ind w:left="1260" w:right="3639"/>
        <w:spacing w:after="0" w:line="223" w:lineRule="auto"/>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Central Plaza, 18 Harbour Road, Wanchai, Hong Kong Attention: Investor Services Department (MCCS)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e-mail address: mfs-mccs@maples.com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3884930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158" w:lineRule="exact"/>
        <w:rPr>
          <w:sz w:val="20"/>
          <w:szCs w:val="20"/>
          <w:color w:val="auto"/>
        </w:rPr>
      </w:pPr>
    </w:p>
    <w:p>
      <w:pPr>
        <w:ind w:left="1260" w:right="499" w:firstLine="360"/>
        <w:spacing w:after="0" w:line="247" w:lineRule="auto"/>
        <w:tabs>
          <w:tab w:leader="none" w:pos="187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No signature guarantee is required on this Instruction Form if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 Form is signed by the registered holder(s) of Class A Ordinary Shares tendered herewith. In all other cases, all signatures on this Instruction Form must be guaranteed by an Eligible Institution. See Instruction 4. If you have any questions regarding the need for a signature guarantee, please call Georgeson LLC (the “Information Agent”) toll-free at (866) 585-6991.</w:t>
      </w:r>
    </w:p>
    <w:p>
      <w:pPr>
        <w:spacing w:after="0" w:line="109" w:lineRule="exact"/>
        <w:rPr>
          <w:rFonts w:ascii="Times New Roman" w:cs="Times New Roman" w:eastAsia="Times New Roman" w:hAnsi="Times New Roman"/>
          <w:sz w:val="18"/>
          <w:szCs w:val="18"/>
          <w:b w:val="1"/>
          <w:bCs w:val="1"/>
          <w:color w:val="auto"/>
        </w:rPr>
      </w:pPr>
    </w:p>
    <w:p>
      <w:pPr>
        <w:ind w:left="1260" w:right="419" w:firstLine="360"/>
        <w:spacing w:after="0" w:line="246" w:lineRule="auto"/>
        <w:tabs>
          <w:tab w:leader="none" w:pos="187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Requirements of Tender. </w:t>
      </w:r>
      <w:r>
        <w:rPr>
          <w:rFonts w:ascii="Times New Roman" w:cs="Times New Roman" w:eastAsia="Times New Roman" w:hAnsi="Times New Roman"/>
          <w:sz w:val="18"/>
          <w:szCs w:val="18"/>
          <w:color w:val="auto"/>
        </w:rPr>
        <w:t>This Instruction Form is to be completed by holders of Class A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not represented by ADSs. A separate Letter of Transmittal has been provided and is to be completed by holders of Class A Ordinary Shares represented by ADSs. For a securityholder to properly tender Class A Ordinary Shares pursuant to the Offer, (i) this Instruction Form, properly completed and duly executed, including any required signature guarantees, and all other documents required by this Instruction Form must be received by Maples Fund Services (Cayman) Limited (the “Registrar”) at its address set forth above prior to the Expiration Time.</w:t>
      </w:r>
    </w:p>
    <w:p>
      <w:pPr>
        <w:spacing w:after="0" w:line="11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Tenders of Class A Ordinary Shares made pursuant to the Offer may be withdrawn at any time prior to the Expiration Time. To withdraw Class A Ordinary Shares, securityholders must deliver a written notice of withdrawal to the Registrar within the prescribed time period at the address set forth above. If we have not accepted for payment the Class A Ordinary Shares you have tendered to us, you may also withdraw your Class A Ordinary Shares at any time after 12:00 Midnight, New York City time, at the end of the day on October 30, 2025, the completion of the 40th business day following the commencement of the Offer.</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Any notice of withdrawal must specify the name of the tendering securityholder, the number of Class A Ordinary Shares to be withdrawn, and the name of the registered holder of such Class A Ordinary Shares. Withdrawals may not be rescinded and any Class A Ordinary Shares withdrawn will not be properly tendered for purposes of the Offer unless the withdrawn Class A Ordinary Shares are properly re-tendered prior to the Expiration Time by following the procedures described above.</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THE METHOD OF DELIVERY OF CLASS A ORDINARY SHARES, THIS INSTRUCTION FORM AND ANY OTHER REQUIRED DOCUMENTS IS AT THE SOLE ELECTION AND RISK OF THE TENDERING SECURITYHOLDER. CLASS A ORDINARY SHARES, AND THIS INSTRUCTION FORM AND ALL OTHER DOCUMENTS WILL BE DEEMED DELIVERED ONLY WHEN ACTUALLY RECEIVED BY THE REGISTRAR. WHEN DELIVERING BY MAIL, WE RECOMMEND THAT YOU USE REGISTERED MAIL WITH RETURN RECEIPT REQUESTED, AND THAT YOU PROPERLY INSURE THE DOCUMENTS. IN ALL CASES, YOU SHOULD ALLOW SUFFICIENT TIME TO ENSURE TIMELY DELIVERY.</w:t>
      </w:r>
    </w:p>
    <w:p>
      <w:pPr>
        <w:spacing w:after="0" w:line="116"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Except as specifically provided by the Offer to Purchase, no alternative, conditional or contingent tenders will be accepted. No fractional Class A Ordinary Shares will be purchased. All tendering securityholders, by execution of this Instruction Form, waive any right to receive any notice of the acceptance for payment of their Class A Ordinary Shares.</w:t>
      </w:r>
    </w:p>
    <w:p>
      <w:pPr>
        <w:spacing w:after="0" w:line="108" w:lineRule="exact"/>
        <w:rPr>
          <w:sz w:val="20"/>
          <w:szCs w:val="20"/>
          <w:color w:val="auto"/>
        </w:rPr>
      </w:pPr>
    </w:p>
    <w:p>
      <w:pPr>
        <w:ind w:left="1260" w:right="599" w:firstLine="360"/>
        <w:spacing w:after="0" w:line="268" w:lineRule="auto"/>
        <w:tabs>
          <w:tab w:leader="none" w:pos="187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in this Instruction Form is inadequate,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should be listed on a separate signed schedule attached hereto. The same Class A Ordinary Shares cannot be tendered more than once, unless previously properly withdrawn.</w:t>
      </w:r>
    </w:p>
    <w:p>
      <w:pPr>
        <w:spacing w:after="0" w:line="103" w:lineRule="exact"/>
        <w:rPr>
          <w:rFonts w:ascii="Times New Roman" w:cs="Times New Roman" w:eastAsia="Times New Roman" w:hAnsi="Times New Roman"/>
          <w:sz w:val="18"/>
          <w:szCs w:val="18"/>
          <w:b w:val="1"/>
          <w:bCs w:val="1"/>
          <w:color w:val="auto"/>
        </w:rPr>
      </w:pPr>
    </w:p>
    <w:p>
      <w:pPr>
        <w:ind w:left="1260" w:right="519" w:firstLine="360"/>
        <w:spacing w:after="0" w:line="268" w:lineRule="auto"/>
        <w:tabs>
          <w:tab w:leader="none" w:pos="187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Signatures on Instruction Form, Stock Powers and Endorsements. </w:t>
      </w:r>
      <w:r>
        <w:rPr>
          <w:rFonts w:ascii="Times New Roman" w:cs="Times New Roman" w:eastAsia="Times New Roman" w:hAnsi="Times New Roman"/>
          <w:sz w:val="18"/>
          <w:szCs w:val="18"/>
          <w:color w:val="auto"/>
        </w:rPr>
        <w:t>If this Instruction Form is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registered holder(s) of Class A Ordinary Shares tendered hereby, the signature(s) must correspond with the name(s) as written on a security position listing without any change or alteration whatsoever.</w:t>
      </w:r>
    </w:p>
    <w:p>
      <w:pPr>
        <w:spacing w:after="0" w:line="94"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If any of the Class A Ordinary Shares tendered hereby are owned of record by two or more joint owners, all such persons must sign this Instruction Form.</w:t>
      </w:r>
    </w:p>
    <w:p>
      <w:pPr>
        <w:spacing w:after="0" w:line="9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If this Instruction Form or any stock power is signed by a trustee, executor, administrator, guardian, attorney-in-fact, officer of a corporation or other person acting in a fiduciary or representative capacity,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or she should so indicate when signing and submit proper evidence satisfactory to the Company of his or her authority to so act.</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this Instruction Form is signed by the registered owner(s) of Class A Ordinary Shares tendered hereby, no endorsements or separate stock powers are required unless payment of the purchase price is to be made to a person other than the registered owner(s). Signatures on any such stock powers must be guaranteed by an Eligible Institution.</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this Instruction Form is signed by a person other than the registered owner(s) of Class A Ordinary Shares tendered hereby, it must be accompanied by appropriate stock powers, in either case, signed exactly as the name(s) of the registered owner(s) appear(s) on the security position listing(s). The signature(s) on any such stock power(s) must be guaranteed by an Eligible Institution.</w:t>
      </w:r>
    </w:p>
    <w:p>
      <w:pPr>
        <w:spacing w:after="0" w:line="106" w:lineRule="exact"/>
        <w:rPr>
          <w:sz w:val="20"/>
          <w:szCs w:val="20"/>
          <w:color w:val="auto"/>
        </w:rPr>
      </w:pPr>
    </w:p>
    <w:p>
      <w:pPr>
        <w:ind w:left="1260" w:right="419" w:firstLine="360"/>
        <w:spacing w:after="0" w:line="243" w:lineRule="auto"/>
        <w:tabs>
          <w:tab w:leader="none" w:pos="1872"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Transfer Taxes. </w:t>
      </w:r>
      <w:r>
        <w:rPr>
          <w:rFonts w:ascii="Times New Roman" w:cs="Times New Roman" w:eastAsia="Times New Roman" w:hAnsi="Times New Roman"/>
          <w:sz w:val="18"/>
          <w:szCs w:val="18"/>
          <w:color w:val="auto"/>
        </w:rPr>
        <w:t>Except as otherwise provided in this Instruction 5, the Company will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transfer taxes with respect to the transfer and sale of Class A Ordinary Shares to it pursuant to the Offer. If, however, payment of the purchase price for Class A Ordinary Shares for payment is to be made to, or if Class A Ordinary Shares not tendered or accepted for payment are to be registered in the name of, any person(s) other than the registered owner(s), or if Class A Ordinary Shares tendered hereby are registered in the name(s) of any person(s) other than the person(s) signing this Instruction Form, the amount of any share transfer taxes (whether imposed on the registered owner(s) or such other person(s)) will be payable on account of the transfer to such person(s) unless satisfactory evidence of the payment of such taxes or exemption from the payment of such taxes is submitted with this Instruction Form.</w:t>
      </w:r>
    </w:p>
    <w:p>
      <w:pPr>
        <w:spacing w:after="0" w:line="116"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Except as provided in this Instruction 5, it will not be necessary for transfer tax stamps to be affixed to this Instruction Form.</w:t>
      </w:r>
    </w:p>
    <w:p>
      <w:pPr>
        <w:spacing w:after="0" w:line="63" w:lineRule="exact"/>
        <w:rPr>
          <w:sz w:val="20"/>
          <w:szCs w:val="20"/>
          <w:color w:val="auto"/>
        </w:rPr>
      </w:pPr>
    </w:p>
    <w:p>
      <w:pPr>
        <w:ind w:left="1260" w:right="419" w:firstLine="360"/>
        <w:spacing w:after="0" w:line="241" w:lineRule="auto"/>
        <w:tabs>
          <w:tab w:leader="none" w:pos="1869"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Conditions; Irregularities. </w:t>
      </w:r>
      <w:r>
        <w:rPr>
          <w:rFonts w:ascii="Times New Roman" w:cs="Times New Roman" w:eastAsia="Times New Roman" w:hAnsi="Times New Roman"/>
          <w:sz w:val="18"/>
          <w:szCs w:val="18"/>
          <w:color w:val="auto"/>
        </w:rPr>
        <w:t>All questions as to the number of Class A Ordinary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accepted, the purchase price to be paid for Class A Ordinary Shares to be accepted, the validity, form, eligibility (including time of receipt) and acceptance for payment of any tender of Class A Ordinary Shares and the validity (including time of receipt) and form of any notice of withdrawal of tendered Class A Ordinary Shares will be determined by the Company, in its sole discretion, subject to applicable laws, and such determination will be final and binding on all parties absent a finding to the contrary by a court of competent jurisdiction. The Company reserves the absolute right to reject any or all tenders of any Class A Ordinary Shares that the Company determines are not in proper form or the acceptance for payment of or payment for which may, in the opinion of the Company’s counsel, be unlawful. The Company reserves the absolute right to reject any notices of withdrawal that it determines are not in proper form. The Company also reserves the absolute right, subject to the applicable rules and regulations of the SEC, to waive any of the conditions of the Offer prior to the Expiration Time or any defect or irregularity in any tender or withdrawal with respect to any particular Class A Ordinary Shares or any particular securityholder (whether or not the Company waives similar defects or irregularities in the case of other securityholders), and the Company’s interpretation of the terms of the Offer (including these instructions) will be final and binding on all parties absent a finding to the contrary by a court of competent jurisdiction. In the event a condition of the Offer is waived with respect to any particular securityholder, the same condition will be waived with respect to all securityholders. No tender or withdrawal of Class A Ordinary Shares will be deemed to have been properly made until all defects or irregularities have been cured by the tendering or withdrawing securityholder or waived by the Company. The Company will not be liable for failure to waive any condition of the Offer, or any defect or irregularity in any tender or withdrawal of Class A Ordinary Shares. Unless waived, any defects or irregularities in connection with tenders or withdrawals must be cured within the period of time the Company determines. </w:t>
      </w:r>
      <w:r>
        <w:rPr>
          <w:rFonts w:ascii="Times New Roman" w:cs="Times New Roman" w:eastAsia="Times New Roman" w:hAnsi="Times New Roman"/>
          <w:sz w:val="18"/>
          <w:szCs w:val="18"/>
          <w:b w:val="1"/>
          <w:bCs w:val="1"/>
          <w:color w:val="auto"/>
        </w:rPr>
        <w:t>None of the Company, the Dealer Manager, the Information</w:t>
      </w:r>
    </w:p>
    <w:p>
      <w:pPr>
        <w:spacing w:after="0" w:line="216" w:lineRule="exact"/>
        <w:rPr>
          <w:rFonts w:ascii="Times New Roman" w:cs="Times New Roman" w:eastAsia="Times New Roman" w:hAnsi="Times New Roman"/>
          <w:sz w:val="18"/>
          <w:szCs w:val="18"/>
          <w:b w:val="1"/>
          <w:bCs w:val="1"/>
          <w:color w:val="auto"/>
        </w:rPr>
      </w:pPr>
    </w:p>
    <w:p>
      <w:pPr>
        <w:jc w:val="both"/>
        <w:ind w:left="1260" w:right="639"/>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Agent, the Registrar or any other person will be obligated to give notice of any defects or irregularities in any tender or withdrawal, nor will any of the foregoing incur any liability for failure to give any such notification.</w:t>
      </w:r>
    </w:p>
    <w:p>
      <w:pPr>
        <w:spacing w:after="0" w:line="88" w:lineRule="exact"/>
        <w:rPr>
          <w:rFonts w:ascii="Times New Roman" w:cs="Times New Roman" w:eastAsia="Times New Roman" w:hAnsi="Times New Roman"/>
          <w:sz w:val="18"/>
          <w:szCs w:val="18"/>
          <w:b w:val="1"/>
          <w:bCs w:val="1"/>
          <w:color w:val="auto"/>
        </w:rPr>
      </w:pPr>
    </w:p>
    <w:p>
      <w:pPr>
        <w:ind w:left="1260" w:right="499" w:firstLine="360"/>
        <w:spacing w:after="0" w:line="248" w:lineRule="auto"/>
        <w:tabs>
          <w:tab w:leader="none" w:pos="187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Backup Withholding. </w:t>
      </w:r>
      <w:r>
        <w:rPr>
          <w:rFonts w:ascii="Times New Roman" w:cs="Times New Roman" w:eastAsia="Times New Roman" w:hAnsi="Times New Roman"/>
          <w:sz w:val="18"/>
          <w:szCs w:val="18"/>
          <w:color w:val="auto"/>
        </w:rPr>
        <w:t>Under U.S. federal income tax laws, the Company will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 a portion of the amount of any payments made to certain shareholders (or other payees) pursuant to the Offer, as applicable. In order to avoid backup withholding of U.S. federal income tax on payments of cash pursuant to the Offer, a U.S. Holder (as defined below) tendering Class A Ordinary Shares in the Offer must provide the Company or other applicable withholding agent with such U.S. Holder’s correct taxpayer identification number (“</w:t>
      </w:r>
      <w:r>
        <w:rPr>
          <w:rFonts w:ascii="Times New Roman" w:cs="Times New Roman" w:eastAsia="Times New Roman" w:hAnsi="Times New Roman"/>
          <w:sz w:val="18"/>
          <w:szCs w:val="18"/>
          <w:b w:val="1"/>
          <w:bCs w:val="1"/>
          <w:color w:val="auto"/>
        </w:rPr>
        <w:t>TIN</w:t>
      </w:r>
      <w:r>
        <w:rPr>
          <w:rFonts w:ascii="Times New Roman" w:cs="Times New Roman" w:eastAsia="Times New Roman" w:hAnsi="Times New Roman"/>
          <w:sz w:val="18"/>
          <w:szCs w:val="18"/>
          <w:color w:val="auto"/>
        </w:rPr>
        <w:t>”) (i.e., social security number or employer identification number) on a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4" w:lineRule="auto"/>
        <w:rPr>
          <w:sz w:val="20"/>
          <w:szCs w:val="20"/>
          <w:color w:val="auto"/>
        </w:rPr>
      </w:pPr>
      <w:r>
        <w:rPr>
          <w:rFonts w:ascii="Times New Roman" w:cs="Times New Roman" w:eastAsia="Times New Roman" w:hAnsi="Times New Roman"/>
          <w:sz w:val="18"/>
          <w:szCs w:val="18"/>
          <w:color w:val="auto"/>
        </w:rPr>
        <w:t>completed and properly executed IRS Form W-9, a copy of which can be obtained from the IRS website (www.irs.gov), and certify under penalties of perjury that (i) the TIN provided is correct, (ii)  (a) the U.S. Holder is exempt from backup withholding, (b) the U.S. Holder has not been notified by the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that such U.S. Holder is subject to backup withholding as a result of a failure to report all interest or dividends, or (c) the IRS has notified the U.S. Holder that such U.S. Holder is no longer subject to backup withholding, and (iii) the U.S. Holder is a U.S. citizen or other U.S. person (as defined in the instructions to IRS Form W-9). If a U.S. Holder does not provide a correct TIN or fails to provide the certifications described above, the payment of cash to such U.S. Holder pursuant to the Offer would be subject to backup withholding at the applicable statutory rate (currently 24%).</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is any securityholder that for U.S. federal income tax purposes is (i) an individual who is a citizen or resident alien of the United States, (ii) a corporation or other entity treated as a corporation created or organized under the laws of the United States, (iii)  an estate the income of which is subject to U.S. federal income tax regardless of its source or (iv) a trust if (a) a court within the United States is able to exercise primary supervision over the administration of the trust, and one or more U.S. persons have the authority to control all substantial decisions of the trust or (b) it has a valid election in effect to be treated as a U.S. person.</w:t>
      </w:r>
    </w:p>
    <w:p>
      <w:pPr>
        <w:spacing w:after="0" w:line="3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Class A Ordinary Shares,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Class A Ordinary Shares, you are urged to consult with your tax advisor regarding the tax consequences of the purchase, ownership and disposition of Class A Ordinary Shares.</w:t>
      </w:r>
    </w:p>
    <w:p>
      <w:pPr>
        <w:spacing w:after="0" w:line="114"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Backup withholding is not an additional tax. Rather, the amount of the backup withholding can be credited against the U.S. federal income tax liability of the person subject to the backup withholding, provided that the required information is timely filed with the IRS. If backup withholding results in an overpayment of tax, a refund can be obtained upon timely filing an income tax return.</w:t>
      </w:r>
    </w:p>
    <w:p>
      <w:pPr>
        <w:spacing w:after="0" w:line="110"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Class A Ordinary Shares are held in more than one name or are not in the name of the actual owner, consult the instructions to IRS Form W-9 for guidance on which number to report. If a U.S. Holder has not been issued a TIN and has applied for one or intends to apply for one in the near future, such U.S. Holder should consult the instructions to IRS Form W-9 for guidance on how to complete IRS Form W-9.</w:t>
      </w:r>
    </w:p>
    <w:p>
      <w:pPr>
        <w:spacing w:after="0" w:line="110"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Non-U.S. Holders (as defined below) must provide the Company, the Registrar or other applicable withholding agent with a duly completed and properly executed IRS Form W-8BEN, W-8BEN- E or other applicable IRS Form W-8 in order to avoid backup withholding. A copy of the appropriate IRS Form W-8 may be obtained from the IRS website (www.irs.gov).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is a securityholder that is not a U.S. Holder.</w:t>
      </w:r>
    </w:p>
    <w:p>
      <w:pPr>
        <w:spacing w:after="0" w:line="11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Each Holder is urged to consult its tax advisors for further guidance regarding the completion of IRS</w:t>
      </w:r>
    </w:p>
    <w:p>
      <w:pPr>
        <w:spacing w:after="0" w:line="20"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b w:val="1"/>
          <w:bCs w:val="1"/>
          <w:color w:val="auto"/>
        </w:rPr>
        <w:t>Form W-9, IRS Form W-8BEN, IRS Form W-8BEN-E or another version of IRS Form W-8 to claim exemption from backup withholding.</w:t>
      </w:r>
    </w:p>
    <w:p>
      <w:pPr>
        <w:spacing w:after="0" w:line="98" w:lineRule="exact"/>
        <w:rPr>
          <w:sz w:val="20"/>
          <w:szCs w:val="20"/>
          <w:color w:val="auto"/>
        </w:rPr>
      </w:pPr>
    </w:p>
    <w:p>
      <w:pPr>
        <w:ind w:left="1260" w:right="559" w:firstLine="360"/>
        <w:spacing w:after="0" w:line="247" w:lineRule="auto"/>
        <w:tabs>
          <w:tab w:leader="none" w:pos="187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Requests for Assistance or Additional Copies. </w:t>
      </w:r>
      <w:r>
        <w:rPr>
          <w:rFonts w:ascii="Times New Roman" w:cs="Times New Roman" w:eastAsia="Times New Roman" w:hAnsi="Times New Roman"/>
          <w:sz w:val="18"/>
          <w:szCs w:val="18"/>
          <w:color w:val="auto"/>
        </w:rPr>
        <w:t>If you have questions or need assistance, you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contact the Information Agent or the Dealer Manager at their respective addresses and telephone numbers set forth on Schedule I to the Offer to Purchase. If you require additional copies of the Offer to Purchase, this Instruction Form, the IRS Form W-9 or other related materials, you should contact the Information Agent. Copies will be furnished promptly at the Company’s expense.</w:t>
      </w:r>
    </w:p>
    <w:p>
      <w:pPr>
        <w:spacing w:after="0" w:line="109" w:lineRule="exact"/>
        <w:rPr>
          <w:rFonts w:ascii="Times New Roman" w:cs="Times New Roman" w:eastAsia="Times New Roman" w:hAnsi="Times New Roman"/>
          <w:sz w:val="18"/>
          <w:szCs w:val="18"/>
          <w:b w:val="1"/>
          <w:bCs w:val="1"/>
          <w:color w:val="auto"/>
        </w:rPr>
      </w:pPr>
    </w:p>
    <w:p>
      <w:pPr>
        <w:ind w:left="1260" w:right="599" w:firstLine="360"/>
        <w:spacing w:after="0" w:line="244" w:lineRule="auto"/>
        <w:tabs>
          <w:tab w:leader="none" w:pos="187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Odd Lots. </w:t>
      </w:r>
      <w:r>
        <w:rPr>
          <w:rFonts w:ascii="Times New Roman" w:cs="Times New Roman" w:eastAsia="Times New Roman" w:hAnsi="Times New Roman"/>
          <w:sz w:val="18"/>
          <w:szCs w:val="18"/>
          <w:color w:val="auto"/>
        </w:rPr>
        <w:t>If the Company is to purchase fewer than all Class A Ordinary Shares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represented by ADSs) validly tendered and not validly withdrawn prior to the Expiration Time, the Class A Ordinary Shares (including Class A Ordinary Shares represented by ADS) purchased first will consist of all Class A Ordinary Shares (including Class A Ordinary Shares represented by ADSs) validly tendered and not validly withdrawn prior to the Expiration Time by any securityholder who held or beneficially owned, a total of fewer than 100 Class A Ordinary Shares (including Class A Ordinary Shares represented by ADSs), and who tenders all such Class A Ordinary Shares (including Class A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720725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Shares represented by ADSs) in accordance with the procedures described in Section 3 of the Offer to Purchase. This preference will not be available to you unless you complete the section captioned “Odd Lots” in this Instruction Form. This preference is not available to partial tenders or registered holders or beneficial owners of 100 or more Class A Ordinary Shares (including Class A Ordinary Shares represented by ADS) in the aggregate, even if these holders have separate accounts representing fewer than 100 Class A Ordinary Shares (including Class A Ordinary Shares represented by ADSs).</w:t>
      </w:r>
    </w:p>
    <w:p>
      <w:pPr>
        <w:spacing w:after="0" w:line="116" w:lineRule="exact"/>
        <w:rPr>
          <w:sz w:val="20"/>
          <w:szCs w:val="20"/>
          <w:color w:val="auto"/>
        </w:rPr>
      </w:pPr>
    </w:p>
    <w:p>
      <w:pPr>
        <w:jc w:val="both"/>
        <w:ind w:left="1260" w:right="559" w:firstLine="360"/>
        <w:spacing w:after="0" w:line="262" w:lineRule="auto"/>
        <w:tabs>
          <w:tab w:leader="none" w:pos="195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 of Purchase in Event of Proration. </w:t>
      </w:r>
      <w:r>
        <w:rPr>
          <w:rFonts w:ascii="Times New Roman" w:cs="Times New Roman" w:eastAsia="Times New Roman" w:hAnsi="Times New Roman"/>
          <w:sz w:val="18"/>
          <w:szCs w:val="18"/>
          <w:color w:val="auto"/>
        </w:rPr>
        <w:t>Securityholders may designate the order in which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are to be purchased in the event of proration. The order of purchase may have an effect on the U.S. federal income tax classification and the amount of any gain or loss on Class A Ordinary Shares purchased. See Section 1 and Section 12 of the Offer to Purchase.</w:t>
      </w:r>
    </w:p>
    <w:p>
      <w:pPr>
        <w:spacing w:after="0" w:line="10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IMPORTANT</w:t>
      </w:r>
      <w:r>
        <w:rPr>
          <w:rFonts w:ascii="Times New Roman" w:cs="Times New Roman" w:eastAsia="Times New Roman" w:hAnsi="Times New Roman"/>
          <w:sz w:val="17"/>
          <w:szCs w:val="17"/>
          <w:b w:val="1"/>
          <w:bCs w:val="1"/>
          <w:color w:val="auto"/>
        </w:rPr>
        <w:t>: THIS INSTRUCTION FORM, TOGETHER WITH ANY REQUIRED SIGNATURE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GUARANTEES, AND ANY OTHER REQUIRED DOCUMENTS, MUST BE RECEIVED BY THE REGISTRAR PRIOR TO THE EXPIRATION TIME, OR THE TENDERING SECURITYHOLDER MUST COMPLY WITH THE PROCEDURES FOR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6010275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lowerLetter"/>
      <w:start w:val="2"/>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3"/>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1."/>
      <w:numFmt w:val="decimal"/>
      <w:start w:val="2"/>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5"/>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3"/>
    </w:lvl>
  </w:abstractNum>
  <w:abstractNum w:abstractNumId="24">
    <w:nsid w:val="1BA026FA"/>
    <w:multiLevelType w:val="hybridMultilevel"/>
    <w:lvl w:ilvl="0">
      <w:lvlJc w:val="left"/>
      <w:lvlText w:val="%1."/>
      <w:numFmt w:val="decimal"/>
      <w:start w:val="4"/>
    </w:lvl>
  </w:abstractNum>
  <w:abstractNum w:abstractNumId="25">
    <w:nsid w:val="79A1DEAA"/>
    <w:multiLevelType w:val="hybridMultilevel"/>
    <w:lvl w:ilvl="0">
      <w:lvlJc w:val="left"/>
      <w:lvlText w:val="%1."/>
      <w:numFmt w:val="decimal"/>
      <w:start w:val="5"/>
    </w:lvl>
  </w:abstractNum>
  <w:abstractNum w:abstractNumId="26">
    <w:nsid w:val="75C6C33A"/>
    <w:multiLevelType w:val="hybridMultilevel"/>
    <w:lvl w:ilvl="0">
      <w:lvlJc w:val="left"/>
      <w:lvlText w:val="%1."/>
      <w:numFmt w:val="decimal"/>
      <w:start w:val="6"/>
    </w:lvl>
  </w:abstractNum>
  <w:abstractNum w:abstractNumId="27">
    <w:nsid w:val="12E685FB"/>
    <w:multiLevelType w:val="hybridMultilevel"/>
    <w:lvl w:ilvl="0">
      <w:lvlJc w:val="left"/>
      <w:lvlText w:val="%1."/>
      <w:numFmt w:val="decimal"/>
      <w:start w:val="8"/>
    </w:lvl>
  </w:abstractNum>
  <w:abstractNum w:abstractNumId="28">
    <w:nsid w:val="70C6A529"/>
    <w:multiLevelType w:val="hybridMultilevel"/>
    <w:lvl w:ilvl="0">
      <w:lvlJc w:val="left"/>
      <w:lvlText w:val="%1."/>
      <w:numFmt w:val="decimal"/>
      <w:start w:val="9"/>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3"/>
    </w:lvl>
  </w:abstractNum>
  <w:abstractNum w:abstractNumId="34">
    <w:nsid w:val="275AC794"/>
    <w:multiLevelType w:val="hybridMultilevel"/>
    <w:lvl w:ilvl="0">
      <w:lvlJc w:val="left"/>
      <w:lvlText w:val="%1."/>
      <w:numFmt w:val="decimal"/>
      <w:start w:val="5"/>
    </w:lvl>
  </w:abstractNum>
  <w:abstractNum w:abstractNumId="35">
    <w:nsid w:val="39386575"/>
    <w:multiLevelType w:val="hybridMultilevel"/>
    <w:lvl w:ilvl="0">
      <w:lvlJc w:val="left"/>
      <w:lvlText w:val="%1."/>
      <w:numFmt w:val="decimal"/>
      <w:start w:val="6"/>
    </w:lvl>
  </w:abstractNum>
  <w:abstractNum w:abstractNumId="36">
    <w:nsid w:val="1CF10FD8"/>
    <w:multiLevelType w:val="hybridMultilevel"/>
    <w:lvl w:ilvl="0">
      <w:lvlJc w:val="left"/>
      <w:lvlText w:val="%1."/>
      <w:numFmt w:val="decimal"/>
      <w:start w:val="8"/>
    </w:lvl>
  </w:abstractNum>
  <w:abstractNum w:abstractNumId="37">
    <w:nsid w:val="180115BE"/>
    <w:multiLevelType w:val="hybridMultilevel"/>
    <w:lvl w:ilvl="0">
      <w:lvlJc w:val="left"/>
      <w:lvlText w:val="%1."/>
      <w:numFmt w:val="decimal"/>
      <w:start w:val="10"/>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5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decimal"/>
      <w:start w:val="3"/>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2"/>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5"/>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3"/>
    </w:lvl>
  </w:abstractNum>
  <w:abstractNum w:abstractNumId="63">
    <w:nsid w:val="98A3148"/>
    <w:multiLevelType w:val="hybridMultilevel"/>
    <w:lvl w:ilvl="0">
      <w:lvlJc w:val="left"/>
      <w:lvlText w:val="%1."/>
      <w:numFmt w:val="decimal"/>
      <w:start w:val="4"/>
    </w:lvl>
  </w:abstractNum>
  <w:abstractNum w:abstractNumId="64">
    <w:nsid w:val="799D0247"/>
    <w:multiLevelType w:val="hybridMultilevel"/>
    <w:lvl w:ilvl="0">
      <w:lvlJc w:val="left"/>
      <w:lvlText w:val="%1."/>
      <w:numFmt w:val="decimal"/>
      <w:start w:val="5"/>
    </w:lvl>
  </w:abstractNum>
  <w:abstractNum w:abstractNumId="65">
    <w:nsid w:val="6B94764"/>
    <w:multiLevelType w:val="hybridMultilevel"/>
    <w:lvl w:ilvl="0">
      <w:lvlJc w:val="left"/>
      <w:lvlText w:val="%1."/>
      <w:numFmt w:val="decimal"/>
      <w:start w:val="6"/>
    </w:lvl>
  </w:abstractNum>
  <w:abstractNum w:abstractNumId="66">
    <w:nsid w:val="42C296BD"/>
    <w:multiLevelType w:val="hybridMultilevel"/>
    <w:lvl w:ilvl="0">
      <w:lvlJc w:val="left"/>
      <w:lvlText w:val="%1."/>
      <w:numFmt w:val="decimal"/>
      <w:start w:val="8"/>
    </w:lvl>
  </w:abstractNum>
  <w:abstractNum w:abstractNumId="67">
    <w:nsid w:val="168E121F"/>
    <w:multiLevelType w:val="hybridMultilevel"/>
    <w:lvl w:ilvl="0">
      <w:lvlJc w:val="left"/>
      <w:lvlText w:val="%1."/>
      <w:numFmt w:val="decimal"/>
      <w:start w:val="9"/>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decimal"/>
      <w:start w:val="3"/>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decimal"/>
      <w:start w:val="6"/>
    </w:lvl>
  </w:abstractNum>
  <w:abstractNum w:abstractNumId="75">
    <w:nsid w:val="BF72B14"/>
    <w:multiLevelType w:val="hybridMultilevel"/>
    <w:lvl w:ilvl="0">
      <w:lvlJc w:val="left"/>
      <w:lvlText w:val="%1."/>
      <w:numFmt w:val="decimal"/>
      <w:start w:val="8"/>
    </w:lvl>
  </w:abstractNum>
  <w:abstractNum w:abstractNumId="76">
    <w:nsid w:val="11447B7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51" Type="http://schemas.openxmlformats.org/officeDocument/2006/relationships/image" Target="media/image15.png"/><Relationship Id="rId52" Type="http://schemas.openxmlformats.org/officeDocument/2006/relationships/image" Target="media/image16.png"/><Relationship Id="rId53" Type="http://schemas.openxmlformats.org/officeDocument/2006/relationships/image" Target="media/image17.png"/><Relationship Id="rId54" Type="http://schemas.openxmlformats.org/officeDocument/2006/relationships/image" Target="media/image18.png"/><Relationship Id="rId55" Type="http://schemas.openxmlformats.org/officeDocument/2006/relationships/image" Target="media/image19.png"/><Relationship Id="rId56" Type="http://schemas.openxmlformats.org/officeDocument/2006/relationships/image" Target="media/image20.png"/><Relationship Id="rId57" Type="http://schemas.openxmlformats.org/officeDocument/2006/relationships/image" Target="media/image21.png"/><Relationship Id="rId58" Type="http://schemas.openxmlformats.org/officeDocument/2006/relationships/image" Target="media/image22.png"/><Relationship Id="rId59" Type="http://schemas.openxmlformats.org/officeDocument/2006/relationships/image" Target="media/image23.png"/><Relationship Id="rId60" Type="http://schemas.openxmlformats.org/officeDocument/2006/relationships/image" Target="media/image24.png"/><Relationship Id="rId61" Type="http://schemas.openxmlformats.org/officeDocument/2006/relationships/image" Target="media/image25.png"/><Relationship Id="rId62" Type="http://schemas.openxmlformats.org/officeDocument/2006/relationships/image" Target="media/image26.png"/><Relationship Id="rId63" Type="http://schemas.openxmlformats.org/officeDocument/2006/relationships/image" Target="media/image27.png"/><Relationship Id="rId64" Type="http://schemas.openxmlformats.org/officeDocument/2006/relationships/image" Target="media/image28.png"/><Relationship Id="rId65" Type="http://schemas.openxmlformats.org/officeDocument/2006/relationships/image" Target="media/image29.png"/><Relationship Id="rId66" Type="http://schemas.openxmlformats.org/officeDocument/2006/relationships/image" Target="media/image30.png"/><Relationship Id="rId67" Type="http://schemas.openxmlformats.org/officeDocument/2006/relationships/image" Target="media/image31.png"/><Relationship Id="rId68" Type="http://schemas.openxmlformats.org/officeDocument/2006/relationships/image" Target="media/image32.png"/><Relationship Id="rId69" Type="http://schemas.openxmlformats.org/officeDocument/2006/relationships/image" Target="media/image33.png"/><Relationship Id="rId70" Type="http://schemas.openxmlformats.org/officeDocument/2006/relationships/image" Target="media/image34.png"/><Relationship Id="rId71" Type="http://schemas.openxmlformats.org/officeDocument/2006/relationships/image" Target="media/image35.png"/><Relationship Id="rId72" Type="http://schemas.openxmlformats.org/officeDocument/2006/relationships/image" Target="media/image36.png"/><Relationship Id="rId73" Type="http://schemas.openxmlformats.org/officeDocument/2006/relationships/image" Target="media/image37.png"/><Relationship Id="rId74" Type="http://schemas.openxmlformats.org/officeDocument/2006/relationships/image" Target="media/image38.png"/><Relationship Id="rId75" Type="http://schemas.openxmlformats.org/officeDocument/2006/relationships/image" Target="media/image39.png"/><Relationship Id="rId76" Type="http://schemas.openxmlformats.org/officeDocument/2006/relationships/image" Target="media/image40.png"/><Relationship Id="rId77" Type="http://schemas.openxmlformats.org/officeDocument/2006/relationships/image" Target="media/image41.png"/><Relationship Id="rId78" Type="http://schemas.openxmlformats.org/officeDocument/2006/relationships/image" Target="media/image42.png"/><Relationship Id="rId79" Type="http://schemas.openxmlformats.org/officeDocument/2006/relationships/image" Target="media/image43.png"/><Relationship Id="rId80" Type="http://schemas.openxmlformats.org/officeDocument/2006/relationships/image" Target="media/image44.png"/><Relationship Id="rId81" Type="http://schemas.openxmlformats.org/officeDocument/2006/relationships/image" Target="media/image45.png"/><Relationship Id="rId82" Type="http://schemas.openxmlformats.org/officeDocument/2006/relationships/image" Target="media/image46.png"/><Relationship Id="rId83" Type="http://schemas.openxmlformats.org/officeDocument/2006/relationships/image" Target="media/image47.png"/><Relationship Id="rId84" Type="http://schemas.openxmlformats.org/officeDocument/2006/relationships/image" Target="media/image48.png"/><Relationship Id="rId85" Type="http://schemas.openxmlformats.org/officeDocument/2006/relationships/image" Target="media/image49.png"/><Relationship Id="rId86" Type="http://schemas.openxmlformats.org/officeDocument/2006/relationships/image" Target="media/image50.png"/><Relationship Id="rId87"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7" Type="http://schemas.openxmlformats.org/officeDocument/2006/relationships/hyperlink" Target="http://www.sec.gov/Archives/edgar/data/1509223/000110465925089528/tm2525936d1_ex10-1.htm" TargetMode="External"/><Relationship Id="rId18" Type="http://schemas.openxmlformats.org/officeDocument/2006/relationships/hyperlink" Target="http://www.sec.gov/Archives/edgar/data/1509223/000110465925089528/tm2525936d1_ex10-2.htm" TargetMode="External"/><Relationship Id="rId19" Type="http://schemas.openxmlformats.org/officeDocument/2006/relationships/hyperlink" Target="http://www.sec.gov/Archives/edgar/data/1509223/000110465925089528/tm2525936d1_ex10-3.htm" TargetMode="External"/><Relationship Id="rId20" Type="http://schemas.openxmlformats.org/officeDocument/2006/relationships/hyperlink" Target="http://www.sec.gov/Archives/edgar/data/1509223/000119312511273730/d243289dex43.htm" TargetMode="External"/><Relationship Id="rId21" Type="http://schemas.openxmlformats.org/officeDocument/2006/relationships/hyperlink" Target="http://www.sec.gov/Archives/edgar/data/1509223/000141057823001916/mtbl-20230630xex3d1.htm" TargetMode="External"/><Relationship Id="rId22" Type="http://schemas.openxmlformats.org/officeDocument/2006/relationships/hyperlink" Target="http://www.sec.gov/Archives/edgar/data/1509223/000119312511099693/dex43.htm" TargetMode="External"/><Relationship Id="rId23" Type="http://schemas.openxmlformats.org/officeDocument/2006/relationships/hyperlink" Target="http://www.sec.gov/Archives/edgar/data/1509223/000119312511099693/dex42.htm" TargetMode="External"/><Relationship Id="rId24" Type="http://schemas.openxmlformats.org/officeDocument/2006/relationships/hyperlink" Target="http://www.sec.gov/Archives/edgar/data/1509223/000119312511099693/dex46.htm" TargetMode="External"/><Relationship Id="rId25" Type="http://schemas.openxmlformats.org/officeDocument/2006/relationships/hyperlink" Target="http://www.sec.gov/Archives/edgar/data/1509223/000119312511099693/dex101.htm" TargetMode="External"/><Relationship Id="rId26" Type="http://schemas.openxmlformats.org/officeDocument/2006/relationships/hyperlink" Target="http://www.sec.gov/Archives/edgar/data/1509223/000119312511099693/dex102.htm" TargetMode="External"/><Relationship Id="rId29" Type="http://schemas.openxmlformats.org/officeDocument/2006/relationships/hyperlink" Target="http://www.sec.gov/Archives/edgar/data/1509223/000119312511099693/dex103.htm" TargetMode="External"/><Relationship Id="rId30" Type="http://schemas.openxmlformats.org/officeDocument/2006/relationships/hyperlink" Target="http://www.sec.gov/Archives/edgar/data/1509223/000114420416084429/v432275_ex10-1.htm" TargetMode="External"/><Relationship Id="rId31" Type="http://schemas.openxmlformats.org/officeDocument/2006/relationships/hyperlink" Target="http://www.sec.gov/Archives/edgar/data/1509223/000114420416084429/v432275_ex10-2.htm" TargetMode="External"/><Relationship Id="rId32" Type="http://schemas.openxmlformats.org/officeDocument/2006/relationships/hyperlink" Target="http://www.sec.gov/Archives/edgar/data/1509223/000114420418054476/tv504582_ex10-1.htm" TargetMode="External"/><Relationship Id="rId33" Type="http://schemas.openxmlformats.org/officeDocument/2006/relationships/hyperlink" Target="http://www.sec.gov/Archives/edgar/data/1509223/000110465921134457/tm2131883d1_ex99-2.htm" TargetMode="External"/><Relationship Id="rId34" Type="http://schemas.openxmlformats.org/officeDocument/2006/relationships/hyperlink" Target="http://www.sec.gov/Archives/edgar/data/1509223/000141057823000594/tmb-20221231xex10d8.htm" TargetMode="External"/><Relationship Id="rId35" Type="http://schemas.openxmlformats.org/officeDocument/2006/relationships/hyperlink" Target="http://www.sec.gov/Archives/edgar/data/1509223/000141057823000594/tmb-20221231xex10d9.htm" TargetMode="External"/><Relationship Id="rId36" Type="http://schemas.openxmlformats.org/officeDocument/2006/relationships/hyperlink" Target="http://www.sec.gov/Archives/edgar/data/1509223/000119312511099693/dex105.htm" TargetMode="External"/><Relationship Id="rId37" Type="http://schemas.openxmlformats.org/officeDocument/2006/relationships/hyperlink" Target="http://www.sec.gov/Archives/edgar/data/1509223/000141057823000594/tmb-20221231xex10d19.htm" TargetMode="External"/><Relationship Id="rId38" Type="http://schemas.openxmlformats.org/officeDocument/2006/relationships/hyperlink" Target="http://www.sec.gov/Archives/edgar/data/1509223/000119312511099693/dex107.htm" TargetMode="External"/><Relationship Id="rId39" Type="http://schemas.openxmlformats.org/officeDocument/2006/relationships/hyperlink" Target="http://www.sec.gov/Archives/edgar/data/1509223/000119312511099693/dex108.htm" TargetMode="External"/><Relationship Id="rId40" Type="http://schemas.openxmlformats.org/officeDocument/2006/relationships/hyperlink" Target="http://www.sec.gov/Archives/edgar/data/1509223/000119312511099693/dex109.htm" TargetMode="External"/><Relationship Id="rId41" Type="http://schemas.openxmlformats.org/officeDocument/2006/relationships/hyperlink" Target="http://www.sec.gov/Archives/edgar/data/1509223/000119312511099693/dex1010.htm" TargetMode="External"/><Relationship Id="rId42" Type="http://schemas.openxmlformats.org/officeDocument/2006/relationships/hyperlink" Target="http://www.sec.gov/Archives/edgar/data/1509223/000119312511099693/dex1013.htm" TargetMode="External"/><Relationship Id="rId46" Type="http://schemas.openxmlformats.org/officeDocument/2006/relationships/hyperlink" Target="http://www.sec.gov/Archives/edgar/data/1509223/000119312511099693/dex1014.htm" TargetMode="External"/><Relationship Id="rId47" Type="http://schemas.openxmlformats.org/officeDocument/2006/relationships/hyperlink" Target="http://www.sec.gov/Archives/edgar/data/1509223/000119312511099693/dex1011.htm" TargetMode="External"/><Relationship Id="rId48" Type="http://schemas.openxmlformats.org/officeDocument/2006/relationships/hyperlink" Target="http://www.sec.gov/Archives/edgar/data/1509223/000119312511099693/dex1012.htm" TargetMode="External"/><Relationship Id="rId49" Type="http://schemas.openxmlformats.org/officeDocument/2006/relationships/hyperlink" Target="http://www.sec.gov/Archives/edgar/data/1509223/000141057825000746/mtbl-20241231xex97d1.htm" TargetMode="External"/><Relationship Id="rId50" Type="http://schemas.openxmlformats.org/officeDocument/2006/relationships/hyperlink" Target="http://www.sec.gov/Archives/edgar/data/1509223/000110465925086677/tm2524838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2025-09-12T16:10:15Z</dcterms:created>
  <dcterms:modified xsi:type="dcterms:W3CDTF">2025-09-12T16:10:15Z</dcterms:modified>
</cp:coreProperties>
</file>