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333-227886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333-177366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333-227886</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333-209734</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333-177366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UNDER</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MOATABLE,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8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806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w w:val="99"/>
              </w:rPr>
              <w:t>45 West Buchanan Street,</w:t>
            </w:r>
          </w:p>
        </w:tc>
        <w:tc>
          <w:tcPr>
            <w:tcW w:w="3180" w:type="dxa"/>
            <w:vAlign w:val="bottom"/>
          </w:tcPr>
          <w:p>
            <w:pPr>
              <w:spacing w:after="0"/>
              <w:rPr>
                <w:sz w:val="24"/>
                <w:szCs w:val="24"/>
                <w:color w:val="auto"/>
              </w:rPr>
            </w:pPr>
          </w:p>
        </w:tc>
      </w:tr>
      <w:tr>
        <w:trPr>
          <w:trHeight w:val="216"/>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Phoenix, Arizona</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7"/>
              </w:rPr>
              <w:t>85003</w:t>
            </w:r>
          </w:p>
        </w:tc>
      </w:tr>
      <w:tr>
        <w:trPr>
          <w:trHeight w:val="238"/>
        </w:trPr>
        <w:tc>
          <w:tcPr>
            <w:tcW w:w="806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16"/>
        </w:trPr>
        <w:tc>
          <w:tcPr>
            <w:tcW w:w="80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r>
      <w:tr>
        <w:trPr>
          <w:trHeight w:val="478"/>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25"/>
                <w:szCs w:val="25"/>
                <w:b w:val="1"/>
                <w:bCs w:val="1"/>
                <w:color w:val="auto"/>
              </w:rPr>
              <w:t>2006 Equity Incentive Plan</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25"/>
                <w:szCs w:val="25"/>
                <w:b w:val="1"/>
                <w:bCs w:val="1"/>
                <w:color w:val="auto"/>
              </w:rPr>
              <w:t>2008 Equity Incentive Plan</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25"/>
                <w:szCs w:val="25"/>
                <w:b w:val="1"/>
                <w:bCs w:val="1"/>
                <w:color w:val="auto"/>
              </w:rPr>
              <w:t>2009 Equity Incentive Plan</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25"/>
                <w:szCs w:val="25"/>
                <w:b w:val="1"/>
                <w:bCs w:val="1"/>
                <w:color w:val="auto"/>
              </w:rPr>
              <w:t>2011 Share Incentive Plan (as amended)</w:t>
            </w:r>
          </w:p>
        </w:tc>
        <w:tc>
          <w:tcPr>
            <w:tcW w:w="3180" w:type="dxa"/>
            <w:vAlign w:val="bottom"/>
          </w:tcPr>
          <w:p>
            <w:pPr>
              <w:spacing w:after="0"/>
              <w:rPr>
                <w:sz w:val="24"/>
                <w:szCs w:val="24"/>
                <w:color w:val="auto"/>
              </w:rPr>
            </w:pPr>
          </w:p>
        </w:tc>
      </w:tr>
      <w:tr>
        <w:trPr>
          <w:trHeight w:val="297"/>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25"/>
                <w:szCs w:val="25"/>
                <w:b w:val="1"/>
                <w:bCs w:val="1"/>
                <w:color w:val="auto"/>
              </w:rPr>
              <w:t>2016 Share Incentive Plan</w:t>
            </w:r>
          </w:p>
        </w:tc>
        <w:tc>
          <w:tcPr>
            <w:tcW w:w="3180" w:type="dxa"/>
            <w:vAlign w:val="bottom"/>
          </w:tcPr>
          <w:p>
            <w:pPr>
              <w:spacing w:after="0"/>
              <w:rPr>
                <w:sz w:val="24"/>
                <w:szCs w:val="24"/>
                <w:color w:val="auto"/>
              </w:rPr>
            </w:pPr>
          </w:p>
        </w:tc>
      </w:tr>
      <w:tr>
        <w:trPr>
          <w:trHeight w:val="308"/>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25"/>
                <w:szCs w:val="25"/>
                <w:b w:val="1"/>
                <w:bCs w:val="1"/>
                <w:color w:val="auto"/>
              </w:rPr>
              <w:t>2018 Share Incentive Plan</w:t>
            </w:r>
          </w:p>
        </w:tc>
        <w:tc>
          <w:tcPr>
            <w:tcW w:w="3180" w:type="dxa"/>
            <w:vAlign w:val="bottom"/>
          </w:tcPr>
          <w:p>
            <w:pPr>
              <w:spacing w:after="0"/>
              <w:rPr>
                <w:sz w:val="24"/>
                <w:szCs w:val="24"/>
                <w:color w:val="auto"/>
              </w:rPr>
            </w:pPr>
          </w:p>
        </w:tc>
      </w:tr>
      <w:tr>
        <w:trPr>
          <w:trHeight w:val="234"/>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color w:val="auto"/>
                <w:w w:val="99"/>
              </w:rPr>
              <w:t>(Full title of the plans)</w:t>
            </w:r>
          </w:p>
        </w:tc>
        <w:tc>
          <w:tcPr>
            <w:tcW w:w="3180" w:type="dxa"/>
            <w:vAlign w:val="bottom"/>
          </w:tcPr>
          <w:p>
            <w:pPr>
              <w:spacing w:after="0"/>
              <w:rPr>
                <w:sz w:val="20"/>
                <w:szCs w:val="20"/>
                <w:color w:val="auto"/>
              </w:rPr>
            </w:pPr>
          </w:p>
        </w:tc>
      </w:tr>
      <w:tr>
        <w:trPr>
          <w:trHeight w:val="410"/>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w w:val="99"/>
              </w:rPr>
              <w:t>Scott Stone</w:t>
            </w:r>
          </w:p>
        </w:tc>
        <w:tc>
          <w:tcPr>
            <w:tcW w:w="3180" w:type="dxa"/>
            <w:vAlign w:val="bottom"/>
          </w:tcPr>
          <w:p>
            <w:pPr>
              <w:spacing w:after="0"/>
              <w:rPr>
                <w:sz w:val="24"/>
                <w:szCs w:val="24"/>
                <w:color w:val="auto"/>
              </w:rPr>
            </w:pPr>
          </w:p>
        </w:tc>
      </w:tr>
      <w:tr>
        <w:trPr>
          <w:trHeight w:val="216"/>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8"/>
              </w:rPr>
              <w:t>45 W. Buchanan Street</w:t>
            </w:r>
          </w:p>
        </w:tc>
        <w:tc>
          <w:tcPr>
            <w:tcW w:w="3180" w:type="dxa"/>
            <w:vAlign w:val="bottom"/>
          </w:tcPr>
          <w:p>
            <w:pPr>
              <w:spacing w:after="0"/>
              <w:rPr>
                <w:sz w:val="18"/>
                <w:szCs w:val="18"/>
                <w:color w:val="auto"/>
              </w:rPr>
            </w:pPr>
          </w:p>
        </w:tc>
      </w:tr>
      <w:tr>
        <w:trPr>
          <w:trHeight w:val="220"/>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rPr>
              <w:t>Phoenix, AZ 85003</w:t>
            </w:r>
          </w:p>
        </w:tc>
        <w:tc>
          <w:tcPr>
            <w:tcW w:w="3180" w:type="dxa"/>
            <w:vAlign w:val="bottom"/>
          </w:tcPr>
          <w:p>
            <w:pPr>
              <w:spacing w:after="0"/>
              <w:rPr>
                <w:sz w:val="19"/>
                <w:szCs w:val="19"/>
                <w:color w:val="auto"/>
              </w:rPr>
            </w:pPr>
          </w:p>
        </w:tc>
      </w:tr>
      <w:tr>
        <w:trPr>
          <w:trHeight w:val="234"/>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color w:val="auto"/>
              </w:rPr>
              <w:t>(Name and address of agent for service)</w:t>
            </w:r>
          </w:p>
        </w:tc>
        <w:tc>
          <w:tcPr>
            <w:tcW w:w="3180" w:type="dxa"/>
            <w:vAlign w:val="bottom"/>
          </w:tcPr>
          <w:p>
            <w:pPr>
              <w:spacing w:after="0"/>
              <w:rPr>
                <w:sz w:val="20"/>
                <w:szCs w:val="20"/>
                <w:color w:val="auto"/>
              </w:rPr>
            </w:pPr>
          </w:p>
        </w:tc>
      </w:tr>
      <w:tr>
        <w:trPr>
          <w:trHeight w:val="414"/>
        </w:trPr>
        <w:tc>
          <w:tcPr>
            <w:tcW w:w="8060" w:type="dxa"/>
            <w:vAlign w:val="bottom"/>
          </w:tcPr>
          <w:p>
            <w:pPr>
              <w:jc w:val="right"/>
              <w:ind w:right="1782"/>
              <w:spacing w:after="0"/>
              <w:rPr>
                <w:sz w:val="20"/>
                <w:szCs w:val="20"/>
                <w:color w:val="auto"/>
              </w:rPr>
            </w:pPr>
            <w:r>
              <w:rPr>
                <w:rFonts w:ascii="Times New Roman" w:cs="Times New Roman" w:eastAsia="Times New Roman" w:hAnsi="Times New Roman"/>
                <w:sz w:val="18"/>
                <w:szCs w:val="18"/>
                <w:b w:val="1"/>
                <w:bCs w:val="1"/>
                <w:color w:val="auto"/>
              </w:rPr>
              <w:t>(623) 473-5749</w:t>
            </w:r>
          </w:p>
        </w:tc>
        <w:tc>
          <w:tcPr>
            <w:tcW w:w="3180" w:type="dxa"/>
            <w:vAlign w:val="bottom"/>
          </w:tcPr>
          <w:p>
            <w:pPr>
              <w:spacing w:after="0"/>
              <w:rPr>
                <w:sz w:val="24"/>
                <w:szCs w:val="24"/>
                <w:color w:val="auto"/>
              </w:rPr>
            </w:pPr>
          </w:p>
        </w:tc>
      </w:tr>
      <w:tr>
        <w:trPr>
          <w:trHeight w:val="234"/>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color w:val="auto"/>
                <w:w w:val="99"/>
              </w:rPr>
              <w:t>(Telephone number, including area code, of agent for service)</w:t>
            </w:r>
          </w:p>
        </w:tc>
        <w:tc>
          <w:tcPr>
            <w:tcW w:w="3180" w:type="dxa"/>
            <w:vAlign w:val="bottom"/>
          </w:tcPr>
          <w:p>
            <w:pPr>
              <w:spacing w:after="0"/>
              <w:rPr>
                <w:sz w:val="20"/>
                <w:szCs w:val="20"/>
                <w:color w:val="auto"/>
              </w:rPr>
            </w:pPr>
          </w:p>
        </w:tc>
      </w:tr>
      <w:tr>
        <w:trPr>
          <w:trHeight w:val="216"/>
        </w:trPr>
        <w:tc>
          <w:tcPr>
            <w:tcW w:w="80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r>
      <w:tr>
        <w:trPr>
          <w:trHeight w:val="403"/>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i w:val="1"/>
                <w:iCs w:val="1"/>
                <w:color w:val="auto"/>
                <w:w w:val="99"/>
              </w:rPr>
              <w:t>Copies to:</w:t>
            </w:r>
          </w:p>
        </w:tc>
        <w:tc>
          <w:tcPr>
            <w:tcW w:w="3180" w:type="dxa"/>
            <w:vAlign w:val="bottom"/>
          </w:tcPr>
          <w:p>
            <w:pPr>
              <w:spacing w:after="0"/>
              <w:rPr>
                <w:sz w:val="24"/>
                <w:szCs w:val="24"/>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John-Paul Motley, Esq.</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102"/>
              <w:spacing w:after="0"/>
              <w:rPr>
                <w:sz w:val="20"/>
                <w:szCs w:val="20"/>
                <w:color w:val="auto"/>
              </w:rPr>
            </w:pPr>
            <w:r>
              <w:rPr>
                <w:rFonts w:ascii="Times New Roman" w:cs="Times New Roman" w:eastAsia="Times New Roman" w:hAnsi="Times New Roman"/>
                <w:sz w:val="18"/>
                <w:szCs w:val="18"/>
                <w:b w:val="1"/>
                <w:bCs w:val="1"/>
                <w:color w:val="auto"/>
                <w:w w:val="98"/>
              </w:rPr>
              <w:t>Will Cai, Esq.</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Cooley LLP</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355 South Grand Avenue, Suite 900</w:t>
            </w:r>
          </w:p>
        </w:tc>
        <w:tc>
          <w:tcPr>
            <w:tcW w:w="3180" w:type="dxa"/>
            <w:vAlign w:val="bottom"/>
          </w:tcPr>
          <w:p>
            <w:pPr>
              <w:spacing w:after="0"/>
              <w:rPr>
                <w:sz w:val="18"/>
                <w:szCs w:val="18"/>
                <w:color w:val="auto"/>
              </w:rPr>
            </w:pPr>
          </w:p>
        </w:tc>
      </w:tr>
      <w:tr>
        <w:trPr>
          <w:trHeight w:val="216"/>
        </w:trPr>
        <w:tc>
          <w:tcPr>
            <w:tcW w:w="8060" w:type="dxa"/>
            <w:vAlign w:val="bottom"/>
          </w:tcPr>
          <w:p>
            <w:pPr>
              <w:jc w:val="center"/>
              <w:ind w:left="3082"/>
              <w:spacing w:after="0"/>
              <w:rPr>
                <w:sz w:val="20"/>
                <w:szCs w:val="20"/>
                <w:color w:val="auto"/>
              </w:rPr>
            </w:pPr>
            <w:r>
              <w:rPr>
                <w:rFonts w:ascii="Times New Roman" w:cs="Times New Roman" w:eastAsia="Times New Roman" w:hAnsi="Times New Roman"/>
                <w:sz w:val="18"/>
                <w:szCs w:val="18"/>
                <w:b w:val="1"/>
                <w:bCs w:val="1"/>
                <w:color w:val="auto"/>
                <w:w w:val="99"/>
              </w:rPr>
              <w:t>Los Angeles, CA 90071</w:t>
            </w:r>
          </w:p>
        </w:tc>
        <w:tc>
          <w:tcPr>
            <w:tcW w:w="3180" w:type="dxa"/>
            <w:vAlign w:val="bottom"/>
          </w:tcPr>
          <w:p>
            <w:pPr>
              <w:spacing w:after="0"/>
              <w:rPr>
                <w:sz w:val="18"/>
                <w:szCs w:val="18"/>
                <w:color w:val="auto"/>
              </w:rPr>
            </w:pPr>
          </w:p>
        </w:tc>
      </w:tr>
      <w:tr>
        <w:trPr>
          <w:trHeight w:val="238"/>
        </w:trPr>
        <w:tc>
          <w:tcPr>
            <w:tcW w:w="8060" w:type="dxa"/>
            <w:vAlign w:val="bottom"/>
          </w:tcPr>
          <w:p>
            <w:pPr>
              <w:jc w:val="right"/>
              <w:ind w:right="1662"/>
              <w:spacing w:after="0"/>
              <w:rPr>
                <w:sz w:val="20"/>
                <w:szCs w:val="20"/>
                <w:color w:val="auto"/>
              </w:rPr>
            </w:pPr>
            <w:r>
              <w:rPr>
                <w:rFonts w:ascii="Times New Roman" w:cs="Times New Roman" w:eastAsia="Times New Roman" w:hAnsi="Times New Roman"/>
                <w:sz w:val="18"/>
                <w:szCs w:val="18"/>
                <w:b w:val="1"/>
                <w:bCs w:val="1"/>
                <w:color w:val="auto"/>
              </w:rPr>
              <w:t>+1 (213) 561-3204</w:t>
            </w:r>
          </w:p>
        </w:tc>
        <w:tc>
          <w:tcPr>
            <w:tcW w:w="31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47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Post-Effective Amendment No. 1 (the “</w:t>
      </w:r>
      <w:r>
        <w:rPr>
          <w:rFonts w:ascii="Times New Roman" w:cs="Times New Roman" w:eastAsia="Times New Roman" w:hAnsi="Times New Roman"/>
          <w:sz w:val="18"/>
          <w:szCs w:val="18"/>
          <w:b w:val="1"/>
          <w:bCs w:val="1"/>
          <w:i w:val="1"/>
          <w:iCs w:val="1"/>
          <w:color w:val="auto"/>
        </w:rPr>
        <w:t>Post-Effective Amendment</w:t>
      </w:r>
      <w:r>
        <w:rPr>
          <w:rFonts w:ascii="Times New Roman" w:cs="Times New Roman" w:eastAsia="Times New Roman" w:hAnsi="Times New Roman"/>
          <w:sz w:val="18"/>
          <w:szCs w:val="18"/>
          <w:color w:val="auto"/>
        </w:rPr>
        <w:t>”) relates to the following registration statements of Moatable,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on Form S-8 (each a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240" w:hanging="232"/>
        <w:spacing w:after="0" w:line="261" w:lineRule="auto"/>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333-177366), registering 121,080,387 shares of the Registrant’s Class A ordinary shares, par value $0.001 per share (the “</w:t>
      </w:r>
      <w:r>
        <w:rPr>
          <w:rFonts w:ascii="Times New Roman" w:cs="Times New Roman" w:eastAsia="Times New Roman" w:hAnsi="Times New Roman"/>
          <w:sz w:val="18"/>
          <w:szCs w:val="18"/>
          <w:b w:val="1"/>
          <w:bCs w:val="1"/>
          <w:i w:val="1"/>
          <w:iCs w:val="1"/>
          <w:color w:val="auto"/>
        </w:rPr>
        <w:t>Class A Ordinary Shares</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on </w:t>
      </w:r>
      <w:hyperlink r:id="rId16">
        <w:r>
          <w:rPr>
            <w:rFonts w:ascii="Times New Roman" w:cs="Times New Roman" w:eastAsia="Times New Roman" w:hAnsi="Times New Roman"/>
            <w:sz w:val="18"/>
            <w:szCs w:val="18"/>
            <w:u w:val="single" w:color="auto"/>
            <w:color w:val="0000EE"/>
          </w:rPr>
          <w:t>October 18, 2011</w:t>
        </w:r>
      </w:hyperlink>
      <w:r>
        <w:rPr>
          <w:rFonts w:ascii="Times New Roman" w:cs="Times New Roman" w:eastAsia="Times New Roman" w:hAnsi="Times New Roman"/>
          <w:sz w:val="18"/>
          <w:szCs w:val="18"/>
          <w:color w:val="auto"/>
        </w:rPr>
        <w:t>, relating to the 2006 Equity Incentive Plan, the 2008 Equity Incentive Plan, the 2009 Equity Incentive Plan and the 2011 Share Incentive Plan (as amended, the “</w:t>
      </w:r>
      <w:r>
        <w:rPr>
          <w:rFonts w:ascii="Times New Roman" w:cs="Times New Roman" w:eastAsia="Times New Roman" w:hAnsi="Times New Roman"/>
          <w:sz w:val="18"/>
          <w:szCs w:val="18"/>
          <w:b w:val="1"/>
          <w:bCs w:val="1"/>
          <w:i w:val="1"/>
          <w:iCs w:val="1"/>
          <w:color w:val="auto"/>
        </w:rPr>
        <w:t>2011 Plan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40" w:hanging="232"/>
        <w:spacing w:after="0" w:line="282" w:lineRule="auto"/>
        <w:tabs>
          <w:tab w:leader="none" w:pos="240" w:val="left"/>
        </w:tabs>
        <w:numPr>
          <w:ilvl w:val="0"/>
          <w:numId w:val="1"/>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Registration Statement on Form S-8 (No. 333-209734), registering 98,596,236 Class A Ordinary Shares, filed with the Commission on </w:t>
        </w:r>
        <w:r>
          <w:rPr>
            <w:rFonts w:ascii="Times New Roman" w:cs="Times New Roman" w:eastAsia="Times New Roman" w:hAnsi="Times New Roman"/>
            <w:sz w:val="18"/>
            <w:szCs w:val="18"/>
            <w:u w:val="single" w:color="auto"/>
            <w:color w:val="0000EE"/>
          </w:rPr>
          <w:t>February 26,</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2016</w:t>
        </w:r>
        <w:r>
          <w:rPr>
            <w:rFonts w:ascii="Times New Roman" w:cs="Times New Roman" w:eastAsia="Times New Roman" w:hAnsi="Times New Roman"/>
            <w:sz w:val="18"/>
            <w:szCs w:val="18"/>
            <w:color w:val="000000"/>
          </w:rPr>
          <w:t>, relating to the 2011 Plan and the 2016 Share Incentive Plan; and</w:t>
        </w:r>
      </w:hyperlink>
    </w:p>
    <w:p>
      <w:pPr>
        <w:spacing w:after="0" w:line="161" w:lineRule="exact"/>
        <w:rPr>
          <w:rFonts w:ascii="Times New Roman" w:cs="Times New Roman" w:eastAsia="Times New Roman" w:hAnsi="Times New Roman"/>
          <w:sz w:val="18"/>
          <w:szCs w:val="18"/>
          <w:color w:val="0000EE"/>
        </w:rPr>
      </w:pPr>
    </w:p>
    <w:p>
      <w:pPr>
        <w:ind w:left="240" w:right="20" w:hanging="232"/>
        <w:spacing w:after="0" w:line="282" w:lineRule="auto"/>
        <w:tabs>
          <w:tab w:leader="none" w:pos="240" w:val="left"/>
        </w:tabs>
        <w:numPr>
          <w:ilvl w:val="0"/>
          <w:numId w:val="1"/>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Registration Statement on Form S-8 (No. 333-227886), registering 107,100,000 Class A Ordinary Shares, filed with the Commission on </w:t>
        </w:r>
        <w:r>
          <w:rPr>
            <w:rFonts w:ascii="Times New Roman" w:cs="Times New Roman" w:eastAsia="Times New Roman" w:hAnsi="Times New Roman"/>
            <w:sz w:val="18"/>
            <w:szCs w:val="18"/>
            <w:u w:val="single" w:color="auto"/>
            <w:color w:val="0000EE"/>
          </w:rPr>
          <w:t>October 19,</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2018</w:t>
        </w:r>
        <w:r>
          <w:rPr>
            <w:rFonts w:ascii="Times New Roman" w:cs="Times New Roman" w:eastAsia="Times New Roman" w:hAnsi="Times New Roman"/>
            <w:sz w:val="18"/>
            <w:szCs w:val="18"/>
            <w:color w:val="000000"/>
          </w:rPr>
          <w:t>, relating to the 2018 Share Incentive Plan.</w:t>
        </w:r>
      </w:hyperlink>
    </w:p>
    <w:p>
      <w:pPr>
        <w:spacing w:after="0" w:line="16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filing these Post-Effective Amendments, the Registrant has terminated any and all offerings of its securities pursuant to the Registration Statements. Accordingly, the Registrant hereby terminates the effectiveness of each Registration Statement and, in accordance with an undertaking made by the Registrant in Part II of each Registration Statement to remove from registration, by means of post-effective amendment, any of the securities registered which remain unsold at the termination of the offering, removes from registration any and all securities of the Registrant registered for issuance but remain unsold or otherwise unissued under the Registration Statements as of the date hereof.</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City of Phoenix, State of Arizona, on this 17th day of November,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MOATABLE,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Chen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No. 1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6" Type="http://schemas.openxmlformats.org/officeDocument/2006/relationships/hyperlink" Target="https://www.sec.gov/Archives/edgar/data/1509223/000119312511273730/d243289ds8.htm" TargetMode="External"/><Relationship Id="rId17" Type="http://schemas.openxmlformats.org/officeDocument/2006/relationships/hyperlink" Target="https://www.sec.gov/Archives/edgar/data/1509223/000114420416084429/v432275_s8.htm" TargetMode="External"/><Relationship Id="rId18" Type="http://schemas.openxmlformats.org/officeDocument/2006/relationships/hyperlink" Target="https://www.sec.gov/Archives/edgar/data/1509223/000114420418054476/tv504582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2025-11-19T14:54:10Z</dcterms:created>
  <dcterms:modified xsi:type="dcterms:W3CDTF">2025-11-19T14:54:10Z</dcterms:modified>
</cp:coreProperties>
</file>