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60"/>
        <w:jc w:val="left"/>
        <w:rPr>
          <w:bdr w:val="single" w:sz="16" w:space="1" w:color="000000"/>
        </w:rPr>
      </w:pPr>
      <w:bookmarkStart w:id="0" w:name="tm2525936d1_8k.htm"/>
      <w:bookmarkStart w:id="1" w:name="kstm2525936d1_8k"/>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509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val="false"/>
          <w:i w:val="false"/>
          <w:caps w:val="false"/>
          <w:smallCaps w:val="false"/>
          <w:sz w:val="20"/>
        </w:rPr>
        <w:t>September 11,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48"/>
        </w:rPr>
      </w:pPr>
      <w:bookmarkStart w:id="4" w:name="xdx_901_edei--EntityRegistrantName_c2025"/>
      <w:bookmarkEnd w:id="4"/>
      <w:r>
        <w:rPr>
          <w:rFonts w:ascii="Times New Roman;Times;Serif" w:hAnsi="Times New Roman;Times;Serif"/>
          <w:b/>
          <w:i w:val="false"/>
          <w:caps/>
          <w:sz w:val="48"/>
        </w:rPr>
        <w:t>Moatable,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5" w:name="xdx_90A_edei--EntityFileNumber_c20250911"/>
      <w:bookmarkEnd w:id="5"/>
      <w:r>
        <w:rPr>
          <w:rFonts w:ascii="Times New Roman;Times;Serif" w:hAnsi="Times New Roman;Times;Serif"/>
          <w:b/>
          <w:i w:val="false"/>
          <w:caps w:val="false"/>
          <w:smallCaps w:val="false"/>
          <w:sz w:val="20"/>
        </w:rPr>
        <w:t>001-35147</w:t>
      </w:r>
    </w:p>
    <w:p>
      <w:pPr>
        <w:pStyle w:val="TextBody"/>
        <w:bidi w:val="0"/>
        <w:spacing w:before="0" w:after="0"/>
        <w:ind w:left="0" w:right="0" w:hanging="0"/>
        <w:jc w:val="center"/>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2585"/>
        <w:gridCol w:w="3185"/>
        <w:gridCol w:w="1565"/>
      </w:tblGrid>
      <w:tr>
        <w:trPr/>
        <w:tc>
          <w:tcPr>
            <w:tcW w:w="2585" w:type="dxa"/>
            <w:tcBorders/>
            <w:vAlign w:val="center"/>
          </w:tcPr>
          <w:p>
            <w:pPr>
              <w:pStyle w:val="TableContents"/>
              <w:bidi w:val="0"/>
              <w:spacing w:before="0" w:after="283"/>
              <w:jc w:val="center"/>
              <w:rPr>
                <w:b/>
              </w:rPr>
            </w:pPr>
            <w:bookmarkStart w:id="6" w:name="xdx_90B_edei--EntityIncorporationStateCo"/>
            <w:bookmarkEnd w:id="6"/>
            <w:r>
              <w:rPr>
                <w:b/>
              </w:rPr>
              <w:t>Cayman Islands</w:t>
            </w:r>
          </w:p>
        </w:tc>
        <w:tc>
          <w:tcPr>
            <w:tcW w:w="31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D_edei--EntityAddressAddressLine1_"/>
            <w:bookmarkEnd w:id="7"/>
            <w:r>
              <w:rPr>
                <w:rFonts w:ascii="Times New Roman;Times;Serif" w:hAnsi="Times New Roman;Times;Serif"/>
                <w:b/>
                <w:i w:val="false"/>
                <w:caps w:val="false"/>
                <w:smallCaps w:val="false"/>
                <w:sz w:val="20"/>
              </w:rPr>
              <w:t>45 West Buchanan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CityOrTown_c2"/>
            <w:bookmarkEnd w:id="8"/>
            <w:r>
              <w:rPr>
                <w:rFonts w:ascii="Times New Roman;Times;Serif" w:hAnsi="Times New Roman;Times;Serif"/>
                <w:b/>
                <w:i w:val="false"/>
                <w:caps w:val="false"/>
                <w:smallCaps w:val="false"/>
                <w:sz w:val="20"/>
              </w:rPr>
              <w:t xml:space="preserve">Phoenix, </w:t>
            </w:r>
            <w:bookmarkStart w:id="9" w:name="xdx_900_edei--EntityAddressStateOrProvin"/>
            <w:bookmarkEnd w:id="9"/>
            <w:r>
              <w:rPr>
                <w:rFonts w:ascii="Times New Roman;Times;Serif" w:hAnsi="Times New Roman;Times;Serif"/>
                <w:b/>
                <w:i w:val="false"/>
                <w:caps w:val="false"/>
                <w:smallCaps w:val="false"/>
                <w:sz w:val="20"/>
              </w:rPr>
              <w:t xml:space="preserve">Arizona, </w:t>
            </w:r>
            <w:bookmarkStart w:id="10" w:name="xdx_905_edei--EntityAddressPostalZipCode"/>
            <w:bookmarkEnd w:id="10"/>
            <w:r>
              <w:rPr>
                <w:rFonts w:ascii="Times New Roman;Times;Serif" w:hAnsi="Times New Roman;Times;Serif"/>
                <w:b/>
                <w:i w:val="false"/>
                <w:caps w:val="false"/>
                <w:smallCaps w:val="false"/>
                <w:sz w:val="20"/>
              </w:rPr>
              <w:t>85003</w:t>
            </w:r>
          </w:p>
        </w:tc>
        <w:tc>
          <w:tcPr>
            <w:tcW w:w="1565" w:type="dxa"/>
            <w:tcBorders/>
            <w:vAlign w:val="center"/>
          </w:tcPr>
          <w:p>
            <w:pPr>
              <w:pStyle w:val="TableContents"/>
              <w:bidi w:val="0"/>
              <w:spacing w:before="0" w:after="283"/>
              <w:jc w:val="center"/>
              <w:rPr>
                <w:b/>
              </w:rPr>
            </w:pPr>
            <w:bookmarkStart w:id="11" w:name="xdx_900_edei--EntityTaxIdentificationNum"/>
            <w:bookmarkEnd w:id="11"/>
            <w:r>
              <w:rPr>
                <w:b/>
              </w:rPr>
              <w:t>Not Applicable</w:t>
            </w:r>
          </w:p>
        </w:tc>
      </w:tr>
      <w:tr>
        <w:trPr/>
        <w:tc>
          <w:tcPr>
            <w:tcW w:w="2585" w:type="dxa"/>
            <w:tcBorders/>
            <w:vAlign w:val="center"/>
          </w:tcPr>
          <w:p>
            <w:pPr>
              <w:pStyle w:val="TableContents"/>
              <w:bidi w:val="0"/>
              <w:spacing w:before="0" w:after="283"/>
              <w:jc w:val="center"/>
              <w:rPr>
                <w:i/>
                <w:sz w:val="20"/>
              </w:rPr>
            </w:pPr>
            <w:r>
              <w:rPr>
                <w:i/>
                <w:sz w:val="20"/>
              </w:rPr>
              <w:t>(State or other jurisdiction of</w:t>
              <w:br/>
              <w:t>incorporation or organization)</w:t>
            </w:r>
          </w:p>
        </w:tc>
        <w:tc>
          <w:tcPr>
            <w:tcW w:w="3185" w:type="dxa"/>
            <w:tcBorders/>
            <w:vAlign w:val="center"/>
          </w:tcPr>
          <w:p>
            <w:pPr>
              <w:pStyle w:val="TableContents"/>
              <w:bidi w:val="0"/>
              <w:spacing w:before="0" w:after="283"/>
              <w:jc w:val="center"/>
              <w:rPr>
                <w:i/>
                <w:sz w:val="20"/>
              </w:rPr>
            </w:pPr>
            <w:r>
              <w:rPr>
                <w:i/>
                <w:sz w:val="20"/>
              </w:rPr>
              <w:t>(Address of principal executive offices,</w:t>
              <w:br/>
              <w:t>including zip code)</w:t>
            </w:r>
          </w:p>
        </w:tc>
        <w:tc>
          <w:tcPr>
            <w:tcW w:w="1565" w:type="dxa"/>
            <w:tcBorders/>
            <w:vAlign w:val="center"/>
          </w:tcPr>
          <w:p>
            <w:pPr>
              <w:pStyle w:val="TableContents"/>
              <w:bidi w:val="0"/>
              <w:spacing w:before="0" w:after="283"/>
              <w:jc w:val="center"/>
              <w:rPr>
                <w:i/>
                <w:sz w:val="20"/>
              </w:rPr>
            </w:pPr>
            <w:r>
              <w:rPr>
                <w:i/>
                <w:sz w:val="20"/>
              </w:rPr>
              <w:t>(I.R.S. Employer</w:t>
              <w:br/>
              <w:t>Identification No.)</w:t>
            </w:r>
          </w:p>
        </w:tc>
      </w:tr>
      <w:tr>
        <w:trPr/>
        <w:tc>
          <w:tcPr>
            <w:tcW w:w="2585" w:type="dxa"/>
            <w:tcBorders/>
            <w:vAlign w:val="center"/>
          </w:tcPr>
          <w:p>
            <w:pPr>
              <w:pStyle w:val="TableContents"/>
              <w:bidi w:val="0"/>
              <w:spacing w:before="0" w:after="283"/>
              <w:jc w:val="center"/>
              <w:rPr/>
            </w:pPr>
            <w:r>
              <w:rPr/>
              <w:t> </w:t>
            </w:r>
          </w:p>
        </w:tc>
        <w:tc>
          <w:tcPr>
            <w:tcW w:w="3185"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2585" w:type="dxa"/>
            <w:tcBorders/>
            <w:vAlign w:val="center"/>
          </w:tcPr>
          <w:p>
            <w:pPr>
              <w:pStyle w:val="TableContents"/>
              <w:bidi w:val="0"/>
              <w:spacing w:before="0" w:after="283"/>
              <w:jc w:val="center"/>
              <w:rPr/>
            </w:pPr>
            <w:r>
              <w:rPr/>
              <w:t> </w:t>
            </w:r>
          </w:p>
        </w:tc>
        <w:tc>
          <w:tcPr>
            <w:tcW w:w="3185" w:type="dxa"/>
            <w:tcBorders/>
            <w:vAlign w:val="center"/>
          </w:tcPr>
          <w:p>
            <w:pPr>
              <w:pStyle w:val="TableContents"/>
              <w:bidi w:val="0"/>
              <w:spacing w:before="0" w:after="283"/>
              <w:jc w:val="center"/>
              <w:rPr>
                <w:b/>
              </w:rPr>
            </w:pPr>
            <w:r>
              <w:rPr>
                <w:b/>
              </w:rPr>
              <w:t>(</w:t>
            </w:r>
            <w:bookmarkStart w:id="12" w:name="xdx_903_edei--CityAreaCode_c20250911__20"/>
            <w:bookmarkEnd w:id="12"/>
            <w:r>
              <w:rPr>
                <w:b/>
              </w:rPr>
              <w:t xml:space="preserve">623) </w:t>
            </w:r>
            <w:bookmarkStart w:id="13" w:name="xdx_90E_edei--LocalPhoneNumber_c20250911"/>
            <w:bookmarkEnd w:id="13"/>
            <w:r>
              <w:rPr>
                <w:b/>
              </w:rPr>
              <w:t>473-5749</w:t>
            </w:r>
          </w:p>
        </w:tc>
        <w:tc>
          <w:tcPr>
            <w:tcW w:w="1565" w:type="dxa"/>
            <w:tcBorders/>
            <w:vAlign w:val="center"/>
          </w:tcPr>
          <w:p>
            <w:pPr>
              <w:pStyle w:val="TableContents"/>
              <w:bidi w:val="0"/>
              <w:spacing w:before="0" w:after="283"/>
              <w:jc w:val="center"/>
              <w:rPr/>
            </w:pPr>
            <w:r>
              <w:rPr/>
              <w:t> </w:t>
            </w:r>
          </w:p>
        </w:tc>
      </w:tr>
      <w:tr>
        <w:trPr/>
        <w:tc>
          <w:tcPr>
            <w:tcW w:w="2585" w:type="dxa"/>
            <w:tcBorders/>
            <w:vAlign w:val="center"/>
          </w:tcPr>
          <w:p>
            <w:pPr>
              <w:pStyle w:val="TableContents"/>
              <w:bidi w:val="0"/>
              <w:spacing w:before="0" w:after="283"/>
              <w:jc w:val="center"/>
              <w:rPr/>
            </w:pPr>
            <w:r>
              <w:rPr/>
              <w:t> </w:t>
            </w:r>
          </w:p>
        </w:tc>
        <w:tc>
          <w:tcPr>
            <w:tcW w:w="318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w:t>
            </w:r>
          </w:p>
        </w:tc>
        <w:tc>
          <w:tcPr>
            <w:tcW w:w="156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both"/>
              <w:rPr/>
            </w:pPr>
            <w:bookmarkStart w:id="14" w:name="xdx_90B_edei--WrittenCommunications_c202"/>
            <w:bookmarkEnd w:id="14"/>
            <w:r>
              <w:rPr/>
              <w:t>☐</w:t>
            </w:r>
          </w:p>
        </w:tc>
        <w:tc>
          <w:tcPr>
            <w:tcW w:w="9960" w:type="dxa"/>
            <w:tcBorders/>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vAlign w:val="center"/>
          </w:tcPr>
          <w:p>
            <w:pPr>
              <w:pStyle w:val="TableContents"/>
              <w:bidi w:val="0"/>
              <w:spacing w:before="0" w:after="283"/>
              <w:jc w:val="both"/>
              <w:rPr/>
            </w:pPr>
            <w:bookmarkStart w:id="15" w:name="xdx_909_edei--SolicitingMaterial_c202509"/>
            <w:bookmarkEnd w:id="15"/>
            <w:r>
              <w:rPr/>
              <w:t>☐</w:t>
            </w:r>
          </w:p>
        </w:tc>
        <w:tc>
          <w:tcPr>
            <w:tcW w:w="9960" w:type="dxa"/>
            <w:tcBorders/>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vAlign w:val="center"/>
          </w:tcPr>
          <w:p>
            <w:pPr>
              <w:pStyle w:val="TableContents"/>
              <w:bidi w:val="0"/>
              <w:spacing w:before="0" w:after="283"/>
              <w:jc w:val="both"/>
              <w:rPr/>
            </w:pPr>
            <w:bookmarkStart w:id="16" w:name="xdx_908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pPr>
            <w:bookmarkStart w:id="17" w:name="xdx_904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1535"/>
        <w:gridCol w:w="1715"/>
        <w:gridCol w:w="3710"/>
      </w:tblGrid>
      <w:tr>
        <w:trPr/>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7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37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c>
          <w:tcPr>
            <w:tcW w:w="17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MTBLY</w:t>
            </w:r>
          </w:p>
        </w:tc>
        <w:tc>
          <w:tcPr>
            <w:tcW w:w="37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registrant’s American depositary shares, each representing 45 Class A ordinary shares, are quoted over-the-counter on the Pink Limited Market under the trading symbol “MTBLY”.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8" w:name="xdx_907_edei--EntityEmergingGrowthCompan"/>
      <w:bookmarkEnd w:id="18"/>
      <w:r>
        <w:rPr>
          <w:rFonts w:ascii="Times New Roman;Times;Serif" w:hAnsi="Times New Roman;Times;Serif"/>
          <w:b w:val="false"/>
          <w:i w:val="false"/>
          <w:caps w:val="false"/>
          <w:smallCaps w:val="false"/>
          <w:sz w:val="20"/>
        </w:rPr>
        <w: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2025, Moatable US Holdco, Inc., Lofty, Inc., and Trucker Path, Inc., each wholly owned subsidiaries of the Moatable, Inc. (the “Company”), jointly and severally as borrowers (the “Borrowers”), entered into a new $9.75 million senior secured credit facility (the “Credit Facility”) pursuant to that certain loan agreement (the “Loan Agreement”), dated as of September 11, 2025, with PNC Bank, National Association (“PNC”), as lender. The Borrowers borrowed $9.75 million under the Credit Facility on September 11, 2025. The proceeds from the Credit Facility will fund all or a portion of any purchases of the Company’s Class A Ordinary Shares (including Class A Ordinary Shares represented by American Depositary Shares (“ADSs”)) in the Company’s tender offer to purchase up to 225,000,000 Class A Ordinary Shares (including Class A Ordinary Shares represented by ADSs), at a price of $3.00/45 per Class A Ordinary Share (or $3.00 per ADS), net to the seller in cash, less any applicable withholding taxes, and, in the case of ADSs, less a cash distribution fee of $0.05 per ADS accepted for purchase in the tender offer that will be paid to Citibank, N.A., the Company’s ADS Depositary, and without interest.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will mature on October 31, 2026. Borrowings under the Credit Facility will bear interest at a rate per annum equal to the Daily Simple SOFR (as defined in the Loan Agreement) plus 1.50%, plus a credit spread adjustment of 0.1%. The Borrower will also be required to pay a commitment fee for the unused portion of the Credit Facility of 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borrowings under the Credit Facility may be repaid, in whole or in part, at any time and from time to time without any other premium or penalty. Any amounts repaid under the Credit Facility may not be reborrowed. The Credit Facility does not require any mandatory prepayments or amortization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Facility will be 100% cash collateralized. Additionally, the Company will establish an interest reserve equal to three months’ worth of interest payments.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 Agreement contains certain customary representations and warranties and customary restrictive covenants including covenants regarding additional indebtedness, asset transfers, liens, investments and acquisitions, transactions with affiliates, prepayments of indebtedness, and restricted payments. The Loan Agreement also contains certain customary events of default. If an event of default has occurred and continues beyond any applicable cure period, interest will accrue at 2% per annum higher than the rate of interest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does not purport to be complete and is qualified in all respects by reference to the full text of the Loan Agreement, that certain Line of Credit Note, dated as of September 11, 2025 and that certain Pledge Agreement, dated as of September 11, 2025, by and among Moatable US Holdco, Inc., Trucker Path, Inc. and PNC Bank, National Association, copies of which are filed as Exhibit 10.1, Exhibit 10.2, and Exhibit 10.3 respectively, to this Current Report on Form 8-K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under Item 1.01 of this Current Report on Form 8-K is hereby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center"/>
              <w:rPr/>
            </w:pPr>
            <w:hyperlink w:anchor="tm2525936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525936d1_ex10-1.htm">
              <w:r>
                <w:rPr>
                  <w:rStyle w:val="InternetLink"/>
                  <w:rFonts w:ascii="Times New Roman;Times;Serif" w:hAnsi="Times New Roman;Times;Serif"/>
                  <w:sz w:val="20"/>
                </w:rPr>
                <w:t>Loan Agreement, dated as of September 11, 2025, by and among Moatable US Holdco, Inc., Lofty, Inc. and Trucker Path, Inc., as borrowers, and PNC Bank, National Association, as the lender party thereto</w:t>
              </w:r>
            </w:hyperlink>
          </w:p>
        </w:tc>
      </w:tr>
      <w:tr>
        <w:trPr/>
        <w:tc>
          <w:tcPr>
            <w:tcW w:w="725" w:type="dxa"/>
            <w:tcBorders/>
            <w:tcMar>
              <w:bottom w:w="0" w:type="dxa"/>
            </w:tcMar>
            <w:vAlign w:val="center"/>
          </w:tcPr>
          <w:p>
            <w:pPr>
              <w:pStyle w:val="TableContents"/>
              <w:bidi w:val="0"/>
              <w:spacing w:before="0" w:after="283"/>
              <w:jc w:val="center"/>
              <w:rPr/>
            </w:pPr>
            <w:hyperlink w:anchor="tm2525936d1_ex10-2.htm">
              <w:r>
                <w:rPr>
                  <w:rStyle w:val="InternetLink"/>
                  <w:rFonts w:ascii="Times New Roman;Times;Serif" w:hAnsi="Times New Roman;Times;Serif"/>
                  <w:sz w:val="20"/>
                </w:rPr>
                <w:t>10.2</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525936d1_ex10-2.htm">
              <w:r>
                <w:rPr>
                  <w:rStyle w:val="InternetLink"/>
                  <w:rFonts w:ascii="Times New Roman;Times;Serif" w:hAnsi="Times New Roman;Times;Serif"/>
                  <w:sz w:val="20"/>
                </w:rPr>
                <w:t>Line of Credit Note, dated as of September 11, 2025, by and among Moatable US Holdco, Inc., Lofty, Inc. and Trucker Path, Inc., as borrowers, and PNC Bank, National Association, as the lender party thereto</w:t>
              </w:r>
            </w:hyperlink>
          </w:p>
        </w:tc>
      </w:tr>
      <w:tr>
        <w:trPr/>
        <w:tc>
          <w:tcPr>
            <w:tcW w:w="725" w:type="dxa"/>
            <w:tcBorders/>
            <w:tcMar>
              <w:bottom w:w="0" w:type="dxa"/>
            </w:tcMar>
            <w:vAlign w:val="center"/>
          </w:tcPr>
          <w:p>
            <w:pPr>
              <w:pStyle w:val="TableContents"/>
              <w:bidi w:val="0"/>
              <w:spacing w:before="0" w:after="283"/>
              <w:jc w:val="center"/>
              <w:rPr/>
            </w:pPr>
            <w:hyperlink w:anchor="tm2525936d1_ex10-3.htm">
              <w:r>
                <w:rPr>
                  <w:rStyle w:val="InternetLink"/>
                </w:rPr>
                <w:t>10.3# </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525936d1_ex10-3.htm">
              <w:r>
                <w:rPr>
                  <w:rStyle w:val="InternetLink"/>
                </w:rPr>
                <w:t>Pledge Agreement, dated as of September 11, 2025, by and among Moatable US Holdco, Inc., Trucker Path, Inc. and PNC Bank, National Association</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schedules and exhibits to this exhibit have been omitted pursuant to Item 601(a)(5) of Regulation S-K. A copy of any omitted schedule and/or exhibit will be furnished to the Securities and Exchange Commission upon request.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 looking statements” within the meaning of the “safe harbor” provisions of the United States Private Securities Litigation Reform Act of 1995. These forward-looking statements include, among others, statements regarding the Company’s intention to use the proceeds from the Credit Facility to repurchase Class A Ordinary Shares (including Class A Ordinary Shares represented by ADSs) accepted for purchase in the tender offer. Forward-looking statements are predictions, projections and other statements about future events that are based on current expectations and assumptions and, as a result, are not guarantees of future performance and are subject to risks and uncertainties that may cause actual results to differ materially from expectations discussed in the forward-looking statements. Many factors could cause actual future events to differ materially from the forward-looking statements in this Current Report on Form 8-K, including the Company’s ability to comply with the covenants contained in the Credit Agreement. Further information on such risks, uncertainties and other factors that could cause actual outcomes and results to differ materially from those included in or contemplated by the forward-looking statements are included in the section titled “Risk Factors” included under Part I, Item 1A in our Annual Report on Form 10-K for the year ended December 31, 2024 and updates in our Quarterly Report on Form 10-Q for the quarter ended June 30, 2025. Any forward-looking statement speaks only as of the date on which it is made, and you should not place undue reliance on forward-looking statements. The Company assumes no obligation and does not intend to update or revise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2195"/>
        <w:gridCol w:w="320"/>
        <w:gridCol w:w="1895"/>
      </w:tblGrid>
      <w:tr>
        <w:trPr/>
        <w:tc>
          <w:tcPr>
            <w:tcW w:w="2195" w:type="dxa"/>
            <w:tcBorders/>
            <w:vAlign w:val="center"/>
          </w:tcPr>
          <w:p>
            <w:pPr>
              <w:pStyle w:val="TableContents"/>
              <w:bidi w:val="0"/>
              <w:spacing w:before="0" w:after="283"/>
              <w:jc w:val="left"/>
              <w:rPr>
                <w:caps w:val="false"/>
                <w:smallCaps w:val="false"/>
              </w:rPr>
            </w:pPr>
            <w:r>
              <w:rPr>
                <w:caps w:val="false"/>
                <w:smallCaps w:val="false"/>
              </w:rPr>
              <w:t> </w:t>
            </w:r>
          </w:p>
        </w:tc>
        <w:tc>
          <w:tcPr>
            <w:tcW w:w="22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MOATABLE,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221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Stone</w:t>
            </w:r>
          </w:p>
        </w:tc>
      </w:tr>
      <w:tr>
        <w:trPr/>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12,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Stone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5960" w:right="0" w:hanging="0"/>
        <w:jc w:val="left"/>
        <w:rPr>
          <w:caps w:val="false"/>
          <w:smallCaps w:val="false"/>
        </w:rPr>
      </w:pPr>
      <w:r>
        <w:rPr>
          <w:caps w:val="false"/>
          <w:smallCaps w:val="false"/>
        </w:rPr>
        <w:t> </w:t>
      </w:r>
    </w:p>
    <w:p>
      <w:pPr>
        <w:pStyle w:val="TextBody"/>
        <w:bidi w:val="0"/>
        <w:spacing w:before="0" w:after="0"/>
        <w:ind w:left="5960" w:right="0" w:hanging="0"/>
        <w:jc w:val="left"/>
        <w:rPr>
          <w:caps w:val="false"/>
          <w:smallCaps w:val="false"/>
        </w:rPr>
      </w:pPr>
      <w:r>
        <w:rPr>
          <w:caps w:val="false"/>
          <w:smallCaps w:val="false"/>
        </w:rPr>
        <w:t> </w:t>
      </w:r>
    </w:p>
    <w:p>
      <w:pPr>
        <w:pStyle w:val="TextBody"/>
        <w:bidi w:val="0"/>
        <w:jc w:val="right"/>
        <w:rPr>
          <w:b/>
        </w:rPr>
      </w:pPr>
      <w:bookmarkStart w:id="19" w:name="tm2525936d1_ex10-1.htm"/>
      <w:bookmarkStart w:id="20" w:name="kstm2525936d1_ex101"/>
      <w:bookmarkEnd w:id="19"/>
      <w:bookmarkEnd w:id="20"/>
      <w:r>
        <w:rPr>
          <w:b/>
        </w:rPr>
        <w:t>Exhibit 10.1</w:t>
      </w:r>
      <w:r>
        <w:br w:type="page"/>
      </w:r>
    </w:p>
    <w:p>
      <w:pPr>
        <w:pStyle w:val="TextBody"/>
        <w:bidi w:val="0"/>
        <w:jc w:val="right"/>
        <w:rPr/>
      </w:pPr>
      <w:r>
        <w:rPr/>
        <w:t> </w:t>
      </w:r>
    </w:p>
    <w:tbl>
      <w:tblPr>
        <w:tblW w:w="4475" w:type="dxa"/>
        <w:jc w:val="left"/>
        <w:tblInd w:w="0" w:type="dxa"/>
        <w:tblLayout w:type="fixed"/>
        <w:tblCellMar>
          <w:top w:w="0" w:type="dxa"/>
          <w:left w:w="0" w:type="dxa"/>
          <w:bottom w:w="0" w:type="dxa"/>
          <w:right w:w="0" w:type="dxa"/>
        </w:tblCellMar>
      </w:tblPr>
      <w:tblGrid>
        <w:gridCol w:w="2615"/>
        <w:gridCol w:w="1860"/>
      </w:tblGrid>
      <w:tr>
        <w:trPr/>
        <w:tc>
          <w:tcPr>
            <w:tcW w:w="2615" w:type="dxa"/>
            <w:tcBorders/>
            <w:vAlign w:val="center"/>
          </w:tcPr>
          <w:p>
            <w:pPr>
              <w:pStyle w:val="TableContents"/>
              <w:bidi w:val="0"/>
              <w:spacing w:before="0" w:after="283"/>
              <w:jc w:val="left"/>
              <w:rPr>
                <w:rFonts w:ascii="Times New Roman;Times;Serif" w:hAnsi="Times New Roman;Times;Serif"/>
                <w:b/>
                <w:sz w:val="36"/>
              </w:rPr>
            </w:pPr>
            <w:r>
              <w:rPr>
                <w:rFonts w:ascii="Times New Roman;Times;Serif" w:hAnsi="Times New Roman;Times;Serif"/>
                <w:b/>
                <w:sz w:val="36"/>
              </w:rPr>
              <w:t>Loan Agreement</w:t>
            </w:r>
          </w:p>
        </w:tc>
        <w:tc>
          <w:tcPr>
            <w:tcW w:w="1860" w:type="dxa"/>
            <w:tcBorders/>
            <w:vAlign w:val="center"/>
          </w:tcPr>
          <w:p>
            <w:pPr>
              <w:pStyle w:val="TableContents"/>
              <w:bidi w:val="0"/>
              <w:spacing w:before="0" w:after="283"/>
              <w:jc w:val="right"/>
              <w:rPr/>
            </w:pPr>
            <w:r>
              <w:rPr/>
              <w:drawing>
                <wp:inline distT="0" distB="0" distL="0" distR="0">
                  <wp:extent cx="11811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428625"/>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LOAN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as of September 11, 2025, between Moatable US Holdco, Inc., a Delaware corporation, Lofty Inc., a Delaware corporation, and Trucker Path, Inc., a Delaware corporation (individually or collectively, jointly and severally,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with an address at 45 West Buchanan Street, Phoenix, Arizona 85003, and </w:t>
      </w:r>
      <w:r>
        <w:rPr>
          <w:rFonts w:ascii="Times New Roman;Times;Serif" w:hAnsi="Times New Roman;Times;Serif"/>
          <w:b/>
          <w:i w:val="false"/>
          <w:caps w:val="false"/>
          <w:smallCaps w:val="false"/>
          <w:sz w:val="20"/>
        </w:rPr>
        <w:t>PNC BANK, NATIONAL ASSOCIATION</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with an address at 2801 East Camelback Road, Suite 400, Phoenix, Arizona 85016.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and the Bank, with the intent to be legally bound,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Loan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 has made or may make one or more loans (“</w:t>
      </w:r>
      <w:r>
        <w:rPr>
          <w:rFonts w:ascii="Times New Roman;Times;Serif" w:hAnsi="Times New Roman;Times;Serif"/>
          <w:b/>
          <w:i w:val="false"/>
          <w:caps w:val="false"/>
          <w:smallCaps w:val="false"/>
          <w:sz w:val="20"/>
        </w:rPr>
        <w:t>Loan</w:t>
      </w:r>
      <w:r>
        <w:rPr>
          <w:rFonts w:ascii="Times New Roman;Times;Serif" w:hAnsi="Times New Roman;Times;Serif"/>
          <w:b w:val="false"/>
          <w:i w:val="false"/>
          <w:caps w:val="false"/>
          <w:smallCaps w:val="false"/>
          <w:sz w:val="20"/>
        </w:rPr>
        <w:t>”) to the Borrower subject to the terms and conditions and in reliance upon the representations and warranties of the Borrower set forth in this Agreement. Each Loan shall be used for business purposes (and not for personal, family or household use) and is or will be evidenced by a promissory note or notes of the Borrower and all renewals, extensions, amendments and restatements thereof (whether one or more, collectively,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acceptable to the Bank, which shall set forth the interest rate, repayment and other provisions of the respective Loan, the terms of which are incorporated into this Agreement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governed by this Agreement shall include the Loans specifically described below, if any, and any additional lines of credit or term loans that the Bank has made or may, in its sole discretion, make to the Borrower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i w:val="false"/>
          <w:caps w:val="false"/>
          <w:smallCaps w:val="false"/>
          <w:sz w:val="20"/>
          <w:u w:val="single"/>
        </w:rPr>
        <w:t>Line of Credit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Loan governed by this Agreement is a committed non-revolving line of credit under which the Borrower may request and the Bank, subject to the terms and conditions of this Agreement, will make advances to the Borrower from time to time until the Maturity Date, in an aggregate amount outstanding at any time not to exceed $9,750,000.00 (the “</w:t>
      </w:r>
      <w:r>
        <w:rPr>
          <w:rFonts w:ascii="Times New Roman;Times;Serif" w:hAnsi="Times New Roman;Times;Serif"/>
          <w:b/>
          <w:i w:val="false"/>
          <w:caps w:val="false"/>
          <w:smallCaps w:val="false"/>
          <w:sz w:val="20"/>
        </w:rPr>
        <w:t>Line of Credit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have the meaning set forth in the note evidencing the Line of Credit. The Borrower acknowledges and agrees that in no event will the Bank be under any obligation to extend or renew the Line of Credit beyond the Maturity Date. In no event shall the aggregate unpaid principal amount of advances under the Line of Credit exceed the maximum amount of the Line of Credit. All advances and other credit extensions under the Line of Credit will be used for the acquisition of shares of stock in Moatable, Inc., a Delaware corporation,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i w:val="false"/>
          <w:caps w:val="false"/>
          <w:smallCaps w:val="false"/>
          <w:sz w:val="20"/>
          <w:u w:val="single"/>
        </w:rPr>
        <w:t>Loan Fee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On the date of this Agreement, the Borrowers agree to pay to the Bank, a nonrefundable loan fee equal to $9,250.00, which is fully earned by the Bank, irrespective of the total amount advanced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i w:val="false"/>
          <w:caps w:val="false"/>
          <w:smallCaps w:val="false"/>
          <w:sz w:val="20"/>
          <w:u w:val="single"/>
        </w:rPr>
        <w:t>Unused Fee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Accruing for each day from the date of this Agreement until the Maturity Date (and without regard to whether the conditions to making advances of the Loan are then met), the Borrowers agree to pay to the Bank, a nonrefundable unused fee (the “</w:t>
      </w:r>
      <w:r>
        <w:rPr>
          <w:rFonts w:ascii="Times New Roman;Times;Serif" w:hAnsi="Times New Roman;Times;Serif"/>
          <w:b/>
          <w:i w:val="false"/>
          <w:caps w:val="false"/>
          <w:smallCaps w:val="false"/>
          <w:sz w:val="20"/>
        </w:rPr>
        <w:t>Unused Fee</w:t>
      </w:r>
      <w:r>
        <w:rPr>
          <w:rFonts w:ascii="Times New Roman;Times;Serif" w:hAnsi="Times New Roman;Times;Serif"/>
          <w:b w:val="false"/>
          <w:i w:val="false"/>
          <w:caps w:val="false"/>
          <w:smallCaps w:val="false"/>
          <w:sz w:val="20"/>
        </w:rPr>
        <w:t>”) equal to 0.15% computed on the basis of a year of 360 days and actual days elapsed and multiplied by the difference for such day between the maximum amount of the Line of Credit minus the aggregate amount outstanding of the Line of Credit. Subject to the proviso in the directly preceding sentence, all Unused Fees shall be payable in arrears on the first day of each calendar month after the date of this Agreement and on the Maturity Date or upon acceleration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Security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security for repayment of the Loan shall include but not be limited to the collateral, guaranties and other documents heretofore, contemporaneously or hereafter executed and delivered to the Bank (the “</w:t>
      </w:r>
      <w:r>
        <w:rPr>
          <w:rFonts w:ascii="Times New Roman;Times;Serif" w:hAnsi="Times New Roman;Times;Serif"/>
          <w:b/>
          <w:i w:val="false"/>
          <w:caps w:val="false"/>
          <w:smallCaps w:val="false"/>
          <w:sz w:val="20"/>
        </w:rPr>
        <w:t>Security Documents</w:t>
      </w:r>
      <w:r>
        <w:rPr>
          <w:rFonts w:ascii="Times New Roman;Times;Serif" w:hAnsi="Times New Roman;Times;Serif"/>
          <w:b w:val="false"/>
          <w:i w:val="false"/>
          <w:caps w:val="false"/>
          <w:smallCaps w:val="false"/>
          <w:sz w:val="20"/>
        </w:rPr>
        <w:t>”), which shall secure repayment of the Loan and all other loans, advances, debts, liabilities, obligations, covenants and duties owing by the Borrower to the Bank described therein (hereinafter referred to collectively as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the Note, the Security Documents and all other agreements and documents executed and/or delivered pursuant or subject hereto, as each may be amended, modified, extended or renewed from time to time, are collectively referred to as the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Capitalized terms not defined herein shall have the meanings ascribed to them in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hereby makes the following representations and warranties, which shall be continuing in nature and remain in full force and effect until the Obligations are paid in full, and which shall be true and correct except as otherwise set forth on the Addendum attached hereto and incorporated herein by reference (the “</w:t>
      </w:r>
      <w:r>
        <w:rPr>
          <w:rFonts w:ascii="Times New Roman;Times;Serif" w:hAnsi="Times New Roman;Times;Serif"/>
          <w:b/>
          <w:i w:val="false"/>
          <w:caps w:val="false"/>
          <w:smallCaps w:val="false"/>
          <w:sz w:val="20"/>
        </w:rPr>
        <w:t>Addendum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w:t>
      </w:r>
      <w:r>
        <w:rPr>
          <w:rFonts w:ascii="Times New Roman;Times;Serif" w:hAnsi="Times New Roman;Times;Serif"/>
          <w:b/>
          <w:i w:val="false"/>
          <w:caps w:val="false"/>
          <w:smallCaps w:val="false"/>
          <w:sz w:val="20"/>
          <w:u w:val="single"/>
        </w:rPr>
        <w:t>Existence, Power and Authority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not a natural person, the Borrower is duly organized, validly existing and in good standing under the laws of the State of its incorporation or organization and has the power and authority to own and operate its assets and to conduct its business as now or proposed to be carried on, and is duly qualified, licensed and in good standing to do business in all jurisdictions where its ownership of property or the nature of its business requires such qualification or licensing. The Borrower is duly authorized to execute and deliver the Loan Documents, all necessary action to authorize the execution and delivery of the Loan Documents has been properly taken, and the Borrower is and will continue to be duly authorized to borrow under this Agreement and to perform all of the other terms and provisions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w:t>
      </w:r>
      <w:r>
        <w:rPr>
          <w:rFonts w:ascii="Times New Roman;Times;Serif" w:hAnsi="Times New Roman;Times;Serif"/>
          <w:b/>
          <w:i w:val="false"/>
          <w:caps w:val="false"/>
          <w:smallCaps w:val="false"/>
          <w:sz w:val="20"/>
          <w:u w:val="single"/>
        </w:rPr>
        <w:t>Financial Statements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has delivered or caused to be delivered to the Bank its most recent Financial Statements (as defined herein). The Financial Statements are true, complete and accurate in all material respects and fairly present the Borrower’s financial condition, assets and liabilities, whether accrued, absolute, contingent or otherwise and the results of the Borrower’s operations for the period specified therein. The Financial Statements have been prepared in accordance with the Applicable Accounting Standards. As used herein, “</w:t>
      </w:r>
      <w:r>
        <w:rPr>
          <w:rFonts w:ascii="Times New Roman;Times;Serif" w:hAnsi="Times New Roman;Times;Serif"/>
          <w:b/>
          <w:i w:val="false"/>
          <w:caps w:val="false"/>
          <w:smallCaps w:val="false"/>
          <w:sz w:val="20"/>
        </w:rPr>
        <w:t>Applicable Accounting Standards</w:t>
      </w:r>
      <w:r>
        <w:rPr>
          <w:rFonts w:ascii="Times New Roman;Times;Serif" w:hAnsi="Times New Roman;Times;Serif"/>
          <w:b w:val="false"/>
          <w:i w:val="false"/>
          <w:caps w:val="false"/>
          <w:smallCaps w:val="false"/>
          <w:sz w:val="20"/>
        </w:rPr>
        <w:t>” shall mean generally accepted accounting principles in effect from time to time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consistently applied from period to period, subject in the case of interim statements to normal year-end adjustments and to any comments and notes acceptable to the Bank in its sole discretion; and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shall mean (i) with respect to an entity that is not a natural person, consolidated and, if required by the Bank in its sole discretion, consolidating balance sheets and statements of income and cash flows for the year, month or quarter together with year-to-date figures and comparative figures for the corresponding periods of the prior year, prepared in accordance with the Applicable Accounting Standards, consistently applied from period to period; and (ii) with respect to natural persons, means personal financial statements and federal income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w:t>
      </w:r>
      <w:r>
        <w:rPr>
          <w:rFonts w:ascii="Times New Roman;Times;Serif" w:hAnsi="Times New Roman;Times;Serif"/>
          <w:b/>
          <w:i w:val="false"/>
          <w:caps w:val="false"/>
          <w:smallCaps w:val="false"/>
          <w:sz w:val="20"/>
          <w:u w:val="single"/>
        </w:rPr>
        <w:t>No Material Adverse Change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Since the date of the most recent Financial Statements, the Borrower has not suffered any damage, destruction or loss, and no event or condition has occurred or exists, which has resulted or could result in a material adverse change in its business, assets, operations, condition (financial or otherwise) or results of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w:t>
      </w:r>
      <w:r>
        <w:rPr>
          <w:rFonts w:ascii="Times New Roman;Times;Serif" w:hAnsi="Times New Roman;Times;Serif"/>
          <w:b/>
          <w:i w:val="false"/>
          <w:caps w:val="false"/>
          <w:smallCaps w:val="false"/>
          <w:sz w:val="20"/>
          <w:u w:val="single"/>
        </w:rPr>
        <w:t>Binding Obligations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has full power and authority to enter into the transactions provided for in this Agreement and has been duly authorized to do so by appropriate action of its Board of Directors if the Borrower is a corporation, its members and/or managers, as applicable, if the Borrower is a limited liability company, all its general partners if the Borrower is a partnership or otherwise as may be required by law, charter, other organizational documents or agreements; and the Loan Documents, when executed and delivered by the Borrower, will constitute the legal, valid and binding obligations of the Borrower enforceable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w:t>
      </w:r>
      <w:r>
        <w:rPr>
          <w:rFonts w:ascii="Times New Roman;Times;Serif" w:hAnsi="Times New Roman;Times;Serif"/>
          <w:b/>
          <w:i w:val="false"/>
          <w:caps w:val="false"/>
          <w:smallCaps w:val="false"/>
          <w:sz w:val="20"/>
          <w:u w:val="single"/>
        </w:rPr>
        <w:t>No Defaults or Violations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does not exist any Default or Event of Default, as hereinafter defined, under this Agreement, or any default or violation by the Borrower of or under any of the terms, conditions or obligations of: (i) its partnership agreement if the Borrower is a partnership, its articles or certificate of incorporation, regulations and bylaws if the Borrower is a corporation, its articles or certificate of organization and operating agreement if the Borrower is a limited liability company, or its other organizational documents as applicable; (ii) any indenture, mortgage, deed of trust, franchise, permit, contract, agreement, or other instrument to which it is a party or by which it is bound; or (iii) any law, ordinance, regulation, ruling, order, injunction, decree, condition or other requirement applicable to or imposed upon it by any law, the action of any court or any governmental authority or agency; and the consummation of this Agreement and the transactions set forth herein will not result in any such Default, Event of Default or violation.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3.6.            </w:t>
      </w:r>
      <w:r>
        <w:rPr>
          <w:rFonts w:ascii="Times New Roman;Times;Serif" w:hAnsi="Times New Roman;Times;Serif"/>
          <w:b/>
          <w:i w:val="false"/>
          <w:caps w:val="false"/>
          <w:smallCaps w:val="false"/>
          <w:sz w:val="20"/>
          <w:u w:val="single"/>
        </w:rPr>
        <w:t>Title to Assets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has good and marketable title to the assets reflected on the most recent Financial Statements, free and clear of all liens and encumbrances, except for (i) liens in favor of the Bank; (ii) current taxes and assessments not yet due and payable; (iii) assets disposed of by the Borrower in the ordinary course of business since the date of the most recent Financial Statements; and (iv) those liens or encumbrances, if any, specified on the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3.7.            </w:t>
      </w:r>
      <w:r>
        <w:rPr>
          <w:rFonts w:ascii="Times New Roman;Times;Serif" w:hAnsi="Times New Roman;Times;Serif"/>
          <w:b/>
          <w:i w:val="false"/>
          <w:caps w:val="false"/>
          <w:smallCaps w:val="false"/>
          <w:sz w:val="20"/>
          <w:u w:val="single"/>
        </w:rPr>
        <w:t>Litigation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There are no actions, suits, proceedings or governmental investigations pending or, to the knowledge of the Borrower, threatened against the Borrower, which could result in a material adverse change in its business, assets, operations, condition (financial or otherwise) or results of operations and there is no basis known to the Borrower for any action, suit, proceeding or investigation which could result in such a material adverse change. All pending and threatened litigation against the Borrower is listed on the Addendum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3.8.            </w:t>
      </w:r>
      <w:r>
        <w:rPr>
          <w:rFonts w:ascii="Times New Roman;Times;Serif" w:hAnsi="Times New Roman;Times;Serif"/>
          <w:b/>
          <w:i w:val="false"/>
          <w:caps w:val="false"/>
          <w:smallCaps w:val="false"/>
          <w:sz w:val="20"/>
          <w:u w:val="single"/>
        </w:rPr>
        <w:t>Tax Returns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has filed all returns and reports that are required to be filed by it in connection with any federal, state or local tax, duty or charge levied, assessed or imposed upon it or its property or withheld by it, including income, unemployment, social security and similar taxes, and all of such taxes have been either paid or adequate reserves or other provision has been made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3.9.            </w:t>
      </w:r>
      <w:r>
        <w:rPr>
          <w:rFonts w:ascii="Times New Roman;Times;Serif" w:hAnsi="Times New Roman;Times;Serif"/>
          <w:b/>
          <w:i w:val="false"/>
          <w:caps w:val="false"/>
          <w:smallCaps w:val="false"/>
          <w:sz w:val="20"/>
          <w:u w:val="single"/>
        </w:rPr>
        <w:t>Employee Benefit Plans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employee benefit plan as to which the Borrower may have any liability complies in all material respects with all applicable provisions of the Employee Retirement Income Security Act of 1974 (as amended from time to time,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including minimum funding requirements, and (i) no Prohibited Transaction (as defined under ERISA) has occurred with respect to any such plan; (ii) no Reportable Event (as defined under Section 4043 of ERISA) has occurred with respect to any such plan which would cause the Pension Benefit Guaranty Corporation to institute proceedings under Section 4042 of ERISA; (iii) the Borrower has not withdrawn from any such plan or initiated steps to do so; and (iv) no steps have been taken to terminate any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3.10.          </w:t>
      </w:r>
      <w:r>
        <w:rPr>
          <w:rFonts w:ascii="Times New Roman;Times;Serif" w:hAnsi="Times New Roman;Times;Serif"/>
          <w:b/>
          <w:i w:val="false"/>
          <w:caps w:val="false"/>
          <w:smallCaps w:val="false"/>
          <w:sz w:val="20"/>
          <w:u w:val="single"/>
        </w:rPr>
        <w:t>Environmental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is in compliance, in all material respects, with all Environmental Laws (as hereinafter defined), including, without limitation, all Environmental Laws in jurisdictions in which the Borrower owns or operates, or has owned or operated, a facility or site, stores collateral, arranges or has arranged for disposal or treatment of hazardous substances, solid waste or other waste, accepts or has accepted for transport any hazardous substances, solid waste or other wastes or holds or has held any interest in real property or otherwise. Except as otherwise disclosed on the Addendum, no litigation or proceeding arising under, relating to or in connection with any Environmental Law is pending or, to the best of the Borrower’s knowledge, threatened against the Borrower, any real property in which the Borrower holds or has held an interest or any past or present operation of the Borrower. No release, threatened release or disposal of hazardous waste, solid waste or other wastes is occurring, or to the best of the Borrower’s knowledge has occurred, on, under or to any real property in which the Borrower holds or has held any interest or performs or has performed any of its operations, in violation of any Environmental Law. As used in this Section, “</w:t>
      </w:r>
      <w:r>
        <w:rPr>
          <w:rFonts w:ascii="Times New Roman;Times;Serif" w:hAnsi="Times New Roman;Times;Serif"/>
          <w:b/>
          <w:i w:val="false"/>
          <w:caps w:val="false"/>
          <w:smallCaps w:val="false"/>
          <w:sz w:val="20"/>
        </w:rPr>
        <w:t>litigation or proceeding</w:t>
      </w:r>
      <w:r>
        <w:rPr>
          <w:rFonts w:ascii="Times New Roman;Times;Serif" w:hAnsi="Times New Roman;Times;Serif"/>
          <w:b w:val="false"/>
          <w:i w:val="false"/>
          <w:caps w:val="false"/>
          <w:smallCaps w:val="false"/>
          <w:sz w:val="20"/>
        </w:rPr>
        <w:t>” means any demand, claim notice, suit, suit in equity, action, administrative action, investigation or inquiry whether brought by a governmental authority or other person, and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means all provisions of laws, statutes, ordinances, rules, regulations, permits, licenses, judgments, writs, injunctions, decrees, orders, awards and standards promulgated by any governmental authority concerning health, safety and protection of, or regulation of the discharge of substances into, the environment.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3.11.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owns or is licensed to use all patents, patent rights, trademarks, trade names, service marks, copyrights, intellectual property, technology, know-how and processes necessary for the conduct of its business as currently conducted that are material to the condition (financial or otherwise), business or operations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3.12.          </w:t>
      </w:r>
      <w:r>
        <w:rPr>
          <w:rFonts w:ascii="Times New Roman;Times;Serif" w:hAnsi="Times New Roman;Times;Serif"/>
          <w:b/>
          <w:i w:val="false"/>
          <w:caps w:val="false"/>
          <w:smallCaps w:val="false"/>
          <w:sz w:val="20"/>
          <w:u w:val="single"/>
        </w:rPr>
        <w:t>Regulatory Matters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part of the proceeds of any Loan will be used for “purchasing” or “carrying” any “margin stock” within the respective meanings of each of the quoted terms under Regulation U of the Board of Governors of the Federal Reserve System as now and from time to time in effect or for any purpose which violates the provisions of the Regulations of such Board of Governors.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3.13.          </w:t>
      </w:r>
      <w:r>
        <w:rPr>
          <w:rFonts w:ascii="Times New Roman;Times;Serif" w:hAnsi="Times New Roman;Times;Serif"/>
          <w:b/>
          <w:i w:val="false"/>
          <w:caps w:val="false"/>
          <w:smallCaps w:val="false"/>
          <w:sz w:val="20"/>
          <w:u w:val="single"/>
        </w:rPr>
        <w:t>Solvency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As of the date hereof and after giving effect to the transactions contemplated by the Loan Documents, (i) the aggregate value of the Borrower’s assets will exceed its liabilities (including contingent, subordinated, unmatured and unliquidated liabilities); (ii) the Borrower will have sufficient cash flow to enable it to pay its debts as they become due; and (iii) the Borrower will not have unreasonably small capital for the business in which it is engaged.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3.14.          </w:t>
      </w:r>
      <w:r>
        <w:rPr>
          <w:rFonts w:ascii="Times New Roman;Times;Serif" w:hAnsi="Times New Roman;Times;Serif"/>
          <w:b/>
          <w:i w:val="false"/>
          <w:caps w:val="false"/>
          <w:smallCaps w:val="false"/>
          <w:sz w:val="20"/>
          <w:u w:val="single"/>
        </w:rPr>
        <w:t>Disclosure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None of the Loan Documents contains or will contain any untrue statement of material fact or omits or will omit to state a material fact necessary in order to make the statements contained in this Agreement or the Loan Documents not misleading. There is no fact known to the Borrower which materially adversely affects or, so far as the Borrower can now foresee, might materially adversely affect the business, assets, operations, condition (financial or otherwise) or results of operation of the Borrower and which has not otherwise been fully set forth in this Agreement or in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3.15.         </w:t>
      </w:r>
      <w:r>
        <w:rPr>
          <w:rFonts w:ascii="Times New Roman;Times;Serif" w:hAnsi="Times New Roman;Times;Serif"/>
          <w:b/>
          <w:i w:val="false"/>
          <w:caps w:val="false"/>
          <w:smallCaps w:val="false"/>
          <w:sz w:val="20"/>
          <w:u w:val="single"/>
        </w:rPr>
        <w:t>Beneficial Owners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If the Borrower is or was required to execute and deliver to the Bank a Certification of Beneficial Owner(s) (individually and collectively, as updated from time to time, the “</w:t>
      </w:r>
      <w:r>
        <w:rPr>
          <w:rFonts w:ascii="Times New Roman;Times;Serif" w:hAnsi="Times New Roman;Times;Serif"/>
          <w:b/>
          <w:i w:val="false"/>
          <w:caps w:val="false"/>
          <w:smallCaps w:val="false"/>
          <w:sz w:val="20"/>
        </w:rPr>
        <w:t>Certification of Beneficial Owners</w:t>
      </w:r>
      <w:r>
        <w:rPr>
          <w:rFonts w:ascii="Times New Roman;Times;Serif" w:hAnsi="Times New Roman;Times;Serif"/>
          <w:b w:val="false"/>
          <w:i w:val="false"/>
          <w:caps w:val="false"/>
          <w:smallCaps w:val="false"/>
          <w:sz w:val="20"/>
        </w:rPr>
        <w:t>”), the information in the Certification of Beneficial Owners, as updated from time to time in accordance with this Agreement, is true, complete and correct as of the date thereof, as of the date hereof and as of the date any such update is delivered to the Bank. The Borrower acknowledges and agrees that the Certification of Beneficial Owners is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3.16.         </w:t>
      </w:r>
      <w:r>
        <w:rPr>
          <w:rFonts w:ascii="Times New Roman;Times;Serif" w:hAnsi="Times New Roman;Times;Serif"/>
          <w:b/>
          <w:i w:val="false"/>
          <w:caps w:val="false"/>
          <w:smallCaps w:val="false"/>
          <w:sz w:val="20"/>
          <w:u w:val="single"/>
        </w:rPr>
        <w:t>Anti-Corruption Laws and International Trade Laws; Anti-Money Laundering Laws; Certain Definitions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Covered Entity, and its directors and officers, and each employee, agent or affiliate acting on behalf of such Covered Entity: (a) is not a Sanctioned Person; (b) does not do any business in or with, or derive any of its operating income from direct or indirect investments in or transactions involving, any Sanctioned Jurisdiction or Sanctioned Person; and (c) is not in violation of, and has not, during the past five (5) years, directly or indirectly, taken any act that could cause any Covered Entity to be in violation of, applicable International Trade Laws or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Covered Entity nor any of its directors, officers, employees, or to the knowledge of the Borrower, any agents or affiliates acting on behalf of any Covered Entity has, during the past five (5) years, received any notice or communication from any Person that alleges, or been involved in an internal investigation involving any allegations relating to, potential violation of any International Trade Laws or Anti-Corruption Laws, or received a request for information from any Official Body regarding International Trade Law matters or Anti-Corruption Law matters. There is no Blocked Property pledged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means (a) the U.S. Foreign Corrupt Practices Act of 1977, as amended, (b) the U.K. Bribery Act 2010, as amended, and (c) any other applicable Law relating to anti-bribery or anti-corruption in any jurisdiction in which any Loan Party is located or doing business.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means (a) the Bank Secrecy Act and the Uniting and Strengthening America by Providing Appropriate Tools Required to Intercept and Obstruct Terrorism (USA PATRIOT) Act of 2001; (b) the U.K. Proceeds of Crime Act 2002, the Money Laundering Regulations 2017, as amended and the Terrorist Asset-Freezing etc. Act 2010; and (c) any other applicable Law relating to anti-money laundering and countering the financing of terrorism in any jurisdiction in which any Loan Party is located or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Blocked Property</w:t>
      </w:r>
      <w:r>
        <w:rPr>
          <w:rFonts w:ascii="Times New Roman;Times;Serif" w:hAnsi="Times New Roman;Times;Serif"/>
          <w:b w:val="false"/>
          <w:i w:val="false"/>
          <w:caps w:val="false"/>
          <w:smallCaps w:val="false"/>
          <w:sz w:val="20"/>
        </w:rPr>
        <w:t>” means any property (a) owned, directly or indirectly, by a Sanctioned Person; (b) due to or from a Sanctioned Person; (c) in which a Sanctioned Person otherwise holds any interest; (d) located in a Sanctioned Jurisdiction; or (e) that otherwise could cause any actual or possible violation by the Bank of any applicable International Trade Law if the Bank were to obtain an encumbrance on, lien on, pledge of, or security interest in such property, or provide services in consideration of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 means any collateral securing any debt, liabilities, or other obligations of any Loan Party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Compliance Authority</w:t>
      </w:r>
      <w:r>
        <w:rPr>
          <w:rFonts w:ascii="Times New Roman;Times;Serif" w:hAnsi="Times New Roman;Times;Serif"/>
          <w:b w:val="false"/>
          <w:i w:val="false"/>
          <w:caps w:val="false"/>
          <w:smallCaps w:val="false"/>
          <w:sz w:val="20"/>
        </w:rPr>
        <w:t>” means (a) the United States government or any agency or political subdivision thereof, including, without limitation, the U.S. Department of State, the U.S. Department of Commerce, the U.S. Department of the Treasury and its Office of Foreign Assets Control, and the U.S. Customs and Border Protection agency; (b) the government of Canada or any agency thereof; (c) the European Union or any agency thereof; (d) the government of the United Kingdom or any agency thereof; (e) the United Nations Security Council; and (f) any other Official Body with jurisdiction to administer Anti-Corruption Laws, Anti-Money Laundering Laws or International Trade Laws with respect to the conduct of a Covered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 the Borrower and each of the Borrower’s subsidiaries; (b) each Guarantor and any pledgor of Collateral; and (c) each Person that directly or indirectly controls a Person described in clause (a) or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International Trade Laws</w:t>
      </w:r>
      <w:r>
        <w:rPr>
          <w:rFonts w:ascii="Times New Roman;Times;Serif" w:hAnsi="Times New Roman;Times;Serif"/>
          <w:b w:val="false"/>
          <w:i w:val="false"/>
          <w:caps w:val="false"/>
          <w:smallCaps w:val="false"/>
          <w:sz w:val="20"/>
        </w:rPr>
        <w:t>” means all Laws relating to economic and financial sanctions, trade embargoes, export controls, customs, and anti-boycott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Law</w:t>
      </w:r>
      <w:r>
        <w:rPr>
          <w:rFonts w:ascii="Times New Roman;Times;Serif" w:hAnsi="Times New Roman;Times;Serif"/>
          <w:b w:val="false"/>
          <w:i w:val="false"/>
          <w:caps w:val="false"/>
          <w:smallCaps w:val="false"/>
          <w:sz w:val="20"/>
        </w:rPr>
        <w:t>” means any law(s) (including common law), constitution, statute, treaty, regulation, rule, ordinance, opinion, release, ruling, order, executive order, injunction, writ, decree, bond, judgment, authorization or approval, lien or award, or any settlement arrangement, by agreement, consent or otherwise, of any Official Body, foreign or domestic.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Loan Parties</w:t>
      </w:r>
      <w:r>
        <w:rPr>
          <w:rFonts w:ascii="Times New Roman;Times;Serif" w:hAnsi="Times New Roman;Times;Serif"/>
          <w:b w:val="false"/>
          <w:i w:val="false"/>
          <w:caps w:val="false"/>
          <w:smallCaps w:val="false"/>
          <w:sz w:val="20"/>
        </w:rPr>
        <w:t>” means the Borrower and any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Official Body</w:t>
      </w:r>
      <w:r>
        <w:rPr>
          <w:rFonts w:ascii="Times New Roman;Times;Serif" w:hAnsi="Times New Roman;Times;Serif"/>
          <w:b w:val="false"/>
          <w:i w:val="false"/>
          <w:caps w:val="false"/>
          <w:smallCaps w:val="false"/>
          <w:sz w:val="20"/>
        </w:rPr>
        <w:t>” means the government of the United States of America or of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Official Body,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Jurisdiction</w:t>
      </w:r>
      <w:r>
        <w:rPr>
          <w:rFonts w:ascii="Times New Roman;Times;Serif" w:hAnsi="Times New Roman;Times;Serif"/>
          <w:b w:val="false"/>
          <w:i w:val="false"/>
          <w:caps w:val="false"/>
          <w:smallCaps w:val="false"/>
          <w:sz w:val="20"/>
        </w:rPr>
        <w:t>” means, at any time, a country, area, territory, or jurisdiction that is the subject or target of comprehensive U.S.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Sanctioned Person</w:t>
      </w:r>
      <w:r>
        <w:rPr>
          <w:rFonts w:ascii="Times New Roman;Times;Serif" w:hAnsi="Times New Roman;Times;Serif"/>
          <w:b w:val="false"/>
          <w:i w:val="false"/>
          <w:caps w:val="false"/>
          <w:smallCaps w:val="false"/>
          <w:sz w:val="20"/>
        </w:rPr>
        <w:t>” means any Person (a) located in, organized under the laws of, or ordinarily resident in a Sanctioned Jurisdiction; (b) identified on any sanctions-related list maintained by any Compliance Authority; or (c) owned 50% or more, in the aggregate, directly or indirectly by, controlled by, or acting for, on behalf of, or at the direction of, one or more Persons described in clauses (a) or (b) above.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Affirmative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Borrower agrees that from the date of execution of this Agreement until all Obligations have been paid in full and any commitments of the Bank to the Borrower have been terminated, the Borrower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Books and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Maintain books and records in accordance with the Applicable Accounting Standards and give representatives of the Bank access thereto at all reasonable times, including permission to examine, copy and make abstracts from any of such books and records and such other information as the Bank may from time to time reasonably request, and the Borrower will make available to the Bank for examination copies of any reports, statements and returns which the Borrower may make to or file with any federal, state or local governmental department, bureau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Financial Reporting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Deliver or cause to be delivered to the Bank (i) the Financial Statements, reports and certifications, if any, set forth on the Addendum and (ii) such other information about Borrower’s or Guarantor’s financial condition, properties and operations as and when requested by the Bank, from time to time.  As used herein,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shall collectively refer to each Entity Guarantor and Individual Guarantor of the Obligations, jointly and severally; “</w:t>
      </w:r>
      <w:r>
        <w:rPr>
          <w:rFonts w:ascii="Times New Roman;Times;Serif" w:hAnsi="Times New Roman;Times;Serif"/>
          <w:b/>
          <w:i w:val="false"/>
          <w:caps w:val="false"/>
          <w:smallCaps w:val="false"/>
          <w:sz w:val="20"/>
        </w:rPr>
        <w:t>Entity Guarantor</w:t>
      </w:r>
      <w:r>
        <w:rPr>
          <w:rFonts w:ascii="Times New Roman;Times;Serif" w:hAnsi="Times New Roman;Times;Serif"/>
          <w:b w:val="false"/>
          <w:i w:val="false"/>
          <w:caps w:val="false"/>
          <w:smallCaps w:val="false"/>
          <w:sz w:val="20"/>
        </w:rPr>
        <w:t>” shall mean each Guarantor who is not a natural person; and “</w:t>
      </w:r>
      <w:r>
        <w:rPr>
          <w:rFonts w:ascii="Times New Roman;Times;Serif" w:hAnsi="Times New Roman;Times;Serif"/>
          <w:b/>
          <w:i w:val="false"/>
          <w:caps w:val="false"/>
          <w:smallCaps w:val="false"/>
          <w:sz w:val="20"/>
        </w:rPr>
        <w:t>Individual Guarantor</w:t>
      </w:r>
      <w:r>
        <w:rPr>
          <w:rFonts w:ascii="Times New Roman;Times;Serif" w:hAnsi="Times New Roman;Times;Serif"/>
          <w:b w:val="false"/>
          <w:i w:val="false"/>
          <w:caps w:val="false"/>
          <w:smallCaps w:val="false"/>
          <w:sz w:val="20"/>
        </w:rPr>
        <w:t>” shall mean each Guarantor who is a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Payment of Taxes and Other Charges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Pay and discharge when due all indebtedness and all taxes, assessments, charges, levies and other liabilities imposed upon the Borrower, its income, profits, property or business, except those which currently are being contested in good faith by appropriate proceedings and for which the Borrower shall have set aside adequate reserves or made other adequate provision with respect thereto acceptable to the Bank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Maintenance of Existence, Operation and Assets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Do all things necessary to (i) maintain, renew and keep in full force and effect its organizational existence and all rights, permits and franchises necessary to enable it to continue its business as currently conducted; (ii) continue in operation in substantially the same manner as at present; (iii) keep its properties in good operating condition and repair; and (iv) make all necessary and proper repairs, renewals, replacements, additions and improvements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Insurance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Maintain, with financially sound and reputable insurers, insurance with respect to its property and business against such casualties and contingencies, of such types and in such amounts, as is customary for established companies engaged in the same or similar business and similarly situated. In the event of a conflict between the provisions of this Section and the terms of any Security Documents relating to insurance, the provisions in the Security Documents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Compliance with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Comply with all laws applicable to the Borrower and to the operation of its business (including without limitation any statute, ordinance, rule or regulation relating to employment practices, pension benefits or environmental, occupational and health standards and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4.7.</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Bank Accounts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Establish and maintain at the Bank the Borrower’s primary depository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4.8.            </w:t>
      </w:r>
      <w:r>
        <w:rPr>
          <w:rFonts w:ascii="Times New Roman;Times;Serif" w:hAnsi="Times New Roman;Times;Serif"/>
          <w:b/>
          <w:i w:val="false"/>
          <w:caps w:val="false"/>
          <w:smallCaps w:val="false"/>
          <w:sz w:val="20"/>
          <w:u w:val="single"/>
        </w:rPr>
        <w:t>Financial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Comply with all of the financial and other covenants, if any, set forth on the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4.9.            </w:t>
      </w:r>
      <w:r>
        <w:rPr>
          <w:rFonts w:ascii="Times New Roman;Times;Serif" w:hAnsi="Times New Roman;Times;Serif"/>
          <w:b/>
          <w:i w:val="false"/>
          <w:caps w:val="false"/>
          <w:smallCaps w:val="false"/>
          <w:sz w:val="20"/>
          <w:u w:val="single"/>
        </w:rPr>
        <w:t>Additional 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Provide prompt written notice to the Bank of the occurrence of any of the following (together with a description of the action which the Borrower proposes to take with respect thereto): (i) any Event of Default or any event, act or condition which, with the passage of time or the giving of notice, or both, would constitute an Event of Default (a “</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(ii) any litigation filed by or against the Borrower; (iii) any Reportable Event or Prohibited Transaction with respect to any Employee Benefit Plan(s) (as defined in ERISA) or (iv) any event which might result in a material adverse change in the business, assets, operations, condition (financial or otherwise) or results of operation of the Borrower.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4.10.          </w:t>
      </w:r>
      <w:r>
        <w:rPr>
          <w:rFonts w:ascii="Times New Roman;Times;Serif" w:hAnsi="Times New Roman;Times;Serif"/>
          <w:b/>
          <w:i w:val="false"/>
          <w:caps w:val="false"/>
          <w:smallCaps w:val="false"/>
          <w:sz w:val="20"/>
          <w:u w:val="single"/>
        </w:rPr>
        <w:t>Certification of Beneficial Owners and Other Additional Information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Provide: (i) such information and documentation as may reasonably be requested by the Bank from time to time for purposes of compliance by the Bank with applicable laws (including without limitation the USA PATRIOT Act and other “know your customer” and anti-money laundering rules and regulations), and any policy or procedure implemented by the Bank to comply therewith; and (ii) if the Borrower is or was required to deliver a Certification of Beneficial Owners to the Bank, (a) confirmation of the accuracy of the information set forth in the most recent Certification of Beneficial Owners provided to the Bank, as and when requested by the Bank; and (b) a new Certification of Beneficial Owners in form and substance acceptable to the Bank when the individual(s) identified as a controlling party and/or a direct or indirect individual owner on the most recent Certification of Beneficial Owners provided to the Bank have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Compliance with Anti-Corruption Laws; Anti-Money Laundering Laws and International Trade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Immediately notify the Bank in writing upon the occurrence of a Reportable Compliance Event; (b) immediately provide substitute Collateral to the Bank if, at any time, any Collateral becomes Blocked Property; and (c) conduct its business in compliance with applicable Anti-Corruption Laws, Anti-Money Laundering Laws and International Trade Laws and maintain in effect policies and procedures reasonably designed to ensure compliance with all applicable Anti-Corruption Laws, Anti-Money Laundering Laws and International Trade Laws by each Covered Entity, and its directors and officers, and any employee, agent or affiliate acting on behalf of such Covered Entity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Reportable Compliance Event</w:t>
      </w:r>
      <w:r>
        <w:rPr>
          <w:rFonts w:ascii="Times New Roman;Times;Serif" w:hAnsi="Times New Roman;Times;Serif"/>
          <w:b w:val="false"/>
          <w:i w:val="false"/>
          <w:caps w:val="false"/>
          <w:smallCaps w:val="false"/>
          <w:sz w:val="20"/>
        </w:rPr>
        <w:t>” as used herein means (1) any Covered Entity becomes a Sanctioned Person, or is charged by indictment, criminal complaint, or similar charging instrument, arraigned, custodially detained, penalized or the subject of an assessment for a penalty, by, or enters into a settlement with an Official Body in connection with any Anti-Corruption Law, Anti-Money Laundering Law or International Trade Law, or any predicate crime to any Anti-Corruption Law, Anti-Money Laundering Law or International Trade Law, or has knowledge of facts or circumstances to the effect that it is reasonably likely that any aspect of its operations represents a violation of any Anti-Corruption Law, Anti-Money Laundering Law or International Trade Law; (2) any Covered Entity engages in a transaction that has caused or would cause the Bank to be in violation of any International Trade Law or Anti-Corruption Law, including a Covered Entity’s use of any proceeds of the Loans hereunder to directly or indirectly fund any activities or business of, with or for the benefit of any Sanctioned Person, or to fund or facilitate any activities or business of or in any Sanctioned Jurisdiction; (3) any Collateral qualifies as Blocked Property, or (4) any Covered Entity otherwise violates, or reasonably believes it will violate, any of the International Trade Law- or Anti-Corruption Law-specific representations and covenants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Negative 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covenants and agrees that from the date of this Agreement until all Obligations have been paid in full and any commitments of the Bank to the Borrower have been terminated, except as set forth in the Addendum, the Borrower will not, without the Bank’s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Indebtedness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Create, incur, assume or suffer to exist any indebtedness for borrowed money other than: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Loan and any subsequent indebtedness to the Bank;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open account trade debt incurred in the ordinary course of business and not past due.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Liens and Encumbrances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provided in </w:t>
      </w:r>
      <w:r>
        <w:rPr>
          <w:rFonts w:ascii="Times New Roman;Times;Serif" w:hAnsi="Times New Roman;Times;Serif"/>
          <w:b/>
          <w:i w:val="false"/>
          <w:caps w:val="false"/>
          <w:smallCaps w:val="false"/>
          <w:sz w:val="20"/>
          <w:u w:val="single"/>
        </w:rPr>
        <w:t>Section 3.6</w:t>
      </w:r>
      <w:r>
        <w:rPr>
          <w:rFonts w:ascii="Times New Roman;Times;Serif" w:hAnsi="Times New Roman;Times;Serif"/>
          <w:b w:val="false"/>
          <w:i w:val="false"/>
          <w:caps w:val="false"/>
          <w:smallCaps w:val="false"/>
          <w:sz w:val="20"/>
        </w:rPr>
        <w:t>, create, assume, incur or permit to exist any mortgage, pledge, encumbrance, security interest, lien or charge of any kind upon any of its property, now owned or hereafter acquired, or acquire or agree to acquire any kind of property subject to any conditional sales or other title retention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w:t>
      </w:r>
      <w:r>
        <w:rPr>
          <w:rFonts w:ascii="Times New Roman;Times;Serif" w:hAnsi="Times New Roman;Times;Serif"/>
          <w:b/>
          <w:i w:val="false"/>
          <w:caps w:val="false"/>
          <w:smallCaps w:val="false"/>
          <w:sz w:val="20"/>
          <w:u w:val="single"/>
        </w:rPr>
        <w:t>Guarantees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Guarantee, endorse or become contingently liable for the obligations of any person, firm, corporation or other entity, except in connection with the endorsement and deposit of checks for collection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Loans or Advances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Purchase or hold beneficially any stock, other securities or evidence of indebtedness of, or make or have outstanding, any loans or advances to, or otherwise extend credit to, or make any investment or acquire any interest whatsoever in, any other person, firm, corporation or other entity, except investments disclosed on the Borrower’s Financial Statements that have been provided to the Bank on or before the date hereof, or that are otherwise acceptable to the Bank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Merger or Transfer of Assets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Liquidate or dissolve, or merge or consolidate with or into any person, firm, corporation or other entity, or sell, lease, transfer or otherwise dispose of all or a substantial part of its property, assets, operations or business, whether now owned or hereafter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Change in Business, Management or Ownership</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Make or permit, nor shall any Guarantor or grantor under the Security Documents make or permit, any change in (i) its form of organization, including a division into two or more entities; (ii) the nature of its business as carried on as of the date hereof; (iii) the composition of its current executive management; or (iv) its equity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            </w:t>
      </w:r>
      <w:r>
        <w:rPr>
          <w:rFonts w:ascii="Times New Roman;Times;Serif" w:hAnsi="Times New Roman;Times;Serif"/>
          <w:b/>
          <w:i w:val="false"/>
          <w:caps w:val="false"/>
          <w:smallCaps w:val="false"/>
          <w:sz w:val="20"/>
          <w:u w:val="single"/>
        </w:rPr>
        <w:t>Dividends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Declare or pay any dividends on or make any distribution with respect to any class of its equity or ownership interest, or purchase, redeem, retire or otherwise acquire any of its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5.8.            </w:t>
      </w:r>
      <w:r>
        <w:rPr>
          <w:rFonts w:ascii="Times New Roman;Times;Serif" w:hAnsi="Times New Roman;Times;Serif"/>
          <w:b/>
          <w:i w:val="false"/>
          <w:caps w:val="false"/>
          <w:smallCaps w:val="false"/>
          <w:sz w:val="20"/>
          <w:u w:val="single"/>
        </w:rPr>
        <w:t>Acquisitions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Make acquisitions of all or substantially all of the property or assets of any person, firm, corporation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5.9.            </w:t>
      </w:r>
      <w:r>
        <w:rPr>
          <w:rFonts w:ascii="Times New Roman;Times;Serif" w:hAnsi="Times New Roman;Times;Serif"/>
          <w:b/>
          <w:i w:val="false"/>
          <w:caps w:val="false"/>
          <w:smallCaps w:val="false"/>
          <w:sz w:val="20"/>
          <w:u w:val="single"/>
        </w:rPr>
        <w:t>Anti-Corruption Laws; Anti-Money Laundering Laws; International Trade Laws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 Do any of the following, nor permit any of its directors, officers, employees, agents or affiliates acting on behalf of any Loan Party in connection with this Agreement, nor such Loan Party’s subsidiaries to (a) become a Sanctioned Person; (b) directly or indirectly provide, use, or make available the proceeds of any Loan hereunder (i) to fund any activities or business of, with, or for the benefit of any Person that, at the time of such funding or facilitation, is a Sanctioned Person, (ii) to fund or facilitate any activities or business of or in any Sanctioned Jurisdiction, (iii) in any manner that could result in a violation by any Person (including the Bank) of Anti-Corruption Laws, Anti-Money Laundering Laws or International Trade Laws or (iv) in violation of any applicable Law, including, without limitation, any applicable Anti-Corruption Law, Anti-Money Laundering Law or International Trade Law; (c) repay any Loan with Blocked Property or funds derived from any unlawful activity; or (d) permit any Collateral to become Blocked Property; nor (II) directly or indirectly provide, use, or make available the proceeds of any Loan hereunder to any such Loan Party’s subsidiaries that is not party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The occurrence of any of the following will be deemed to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Covenant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shall default in the performance of any of the covenants or agreements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w:t>
      </w:r>
      <w:r>
        <w:rPr>
          <w:rFonts w:ascii="Times New Roman;Times;Serif" w:hAnsi="Times New Roman;Times;Serif"/>
          <w:b/>
          <w:i w:val="false"/>
          <w:caps w:val="false"/>
          <w:smallCaps w:val="false"/>
          <w:sz w:val="20"/>
          <w:u w:val="single"/>
        </w:rPr>
        <w:t>Breach of Warranty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Any Financial Statement, representation, warranty or certificate made or furnished by the Borrower to the Bank in connection with this Agreement shall be false, incorrect or incomplete when made.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Other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occurrence of (i) an Event of Default as defined in the Note or any of the other Loan Documents and (ii) a default or event of default under or as defined in any other agreement, instrument or document between the Borrower and PNC Bank, National Association or any of its subsidiaries or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the Bank will have all rights and remedies specified in the Note and the other Loan Documents and all rights and remedies available under applicable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Conditions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Bank’s obligation to make any advance under any Loan, or to issue any letter of credit, is subject to the conditions that as of the date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w:t>
      </w:r>
      <w:r>
        <w:rPr>
          <w:rFonts w:ascii="Times New Roman;Times;Serif" w:hAnsi="Times New Roman;Times;Serif"/>
          <w:b/>
          <w:i w:val="false"/>
          <w:caps w:val="false"/>
          <w:smallCaps w:val="false"/>
          <w:sz w:val="20"/>
          <w:u w:val="single"/>
        </w:rPr>
        <w:t>No Event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Event of Default or Default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Authorization Documents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 shall have received certified copies of resolutions of the board of directors, the general partners or the members or managers of any partnership, corporation or limited liability company that executes this Agreement, the Note or any of the other Loan Documents; or other proof of authorization satisfactory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Receipt of Loan Documents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 shall have received the Loan Documents and such other instruments and documents which the Bank may reasonably request in connection with the transactions provided for in this Agreement, which may include an opinion of counsel in form and substance satisfactory to the Bank for any party executing any of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w:t>
      </w:r>
      <w:r>
        <w:rPr>
          <w:rFonts w:ascii="Times New Roman;Times;Serif" w:hAnsi="Times New Roman;Times;Serif"/>
          <w:b/>
          <w:i w:val="false"/>
          <w:caps w:val="false"/>
          <w:smallCaps w:val="false"/>
          <w:sz w:val="20"/>
          <w:u w:val="single"/>
        </w:rPr>
        <w:t>Fees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Bank shall have received all fees owing in respect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Fees; Expenses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agrees to reimburse the Bank, upon the execution of this Agreement, and otherwise on demand, all fees due and payable to the Bank hereunder and under the other Loan Documents and all costs and expenses incurred by the Bank in connection with the preparation, negotiation and delivery of this Agreement and the other Loan Documents, and any modifications or amendments thereto or renewals thereof, and the collection of all of the Obligations, including but not limited to enforcement actions, relating to the Loan, whether through judicial proceedings or otherwise, or in defending or prosecuting any actions or proceedings arising out of or relating to this Agreement, including (i) reasonable fees and expenses of counsel (which may include costs of in-house counsel); (ii) all costs related to conducting UCC, title and other public record searches; (iii) fees for filing and recording documents in the public records to perfect the Bank’s liens and security interests; (iv) expenses for auditors, appraisers and environmental consultants; and (v) taxes. The Borrower hereby authorizes and directs the Bank to charge Borrower's deposit account(s) with the Bank for any and all of the foregoing fees, costs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Increased Costs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written demand, together with written evidence of the justification therefor, the Borrower agrees to pay the 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Loan.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means the occurrence, after the date hereof, of any of the following: (i) the adoption or taking effect of any law, rule, regulation or treaty; (ii) any change in any law, rule, regulation or treaty or in the administration, interpretation, implementation or application thereof by any governmental authority or (iii) the making or issuance of any request, rule, guideline or directive (whether or not having the force of law) by any governmental authority; provided that notwithstanding anything herein to the contrary, (a) the Dodd-Frank Wall Street Reform and Consumer Protection Act and all requests, rules, guidelines or directives thereunder or issued in connection therewith and (b)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must be in writing (except as may be agreed otherwise above with respect to borrowing requests or as otherwise provided in this Agreement) and will be effective upon receipt.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Notices may be sent to a party’s address as set forth above or to such other address as any party may give to the other for such purpose in accordance with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w:t>
      </w:r>
      <w:r>
        <w:rPr>
          <w:rFonts w:ascii="Times New Roman;Times;Serif" w:hAnsi="Times New Roman;Times;Serif"/>
          <w:b/>
          <w:i w:val="false"/>
          <w:caps w:val="false"/>
          <w:smallCaps w:val="false"/>
          <w:sz w:val="20"/>
          <w:u w:val="single"/>
        </w:rPr>
        <w:t>Preservation of Rights; Waivers of Marshalling, Setoff, and Certain Other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In addition to the other waivers hereunder, the Borrower waives, to the extent permitted by applicable law, (i) any and all rights to require the Bank to marshal assets or collateral, to proceed first against, or realize on, any assets or collateral or other credit support before proceeding against or realizing on any other assets or collateral or other credit support, or to otherwise require the Bank to exercise rights or remedies in any particular sequence, in connection with any of the Obligations, and (ii) any and all rights to set off or reduce the amount of the Obligations or any related deficiency against any obligations of the Bank, or on account of the value of any collateral or other credit support, or otherwise, whether any such rights described in this sentence are based on or asserted under any statutory provision, common law, equity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w:t>
      </w:r>
      <w:r>
        <w:rPr>
          <w:rFonts w:ascii="Times New Roman;Times;Serif" w:hAnsi="Times New Roman;Times;Serif"/>
          <w:b/>
          <w:i w:val="false"/>
          <w:caps w:val="false"/>
          <w:smallCaps w:val="false"/>
          <w:sz w:val="20"/>
          <w:u w:val="single"/>
        </w:rPr>
        <w:t>Illegality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provision contained in this Agreement should be invalid, illegal or unenforceable in any respect, it shall not affect or impair the validity, legality and enforceability of the remaining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w:t>
      </w:r>
      <w:r>
        <w:rPr>
          <w:rFonts w:ascii="Times New Roman;Times;Serif" w:hAnsi="Times New Roman;Times;Serif"/>
          <w:b/>
          <w:i w:val="false"/>
          <w:caps w:val="false"/>
          <w:smallCaps w:val="false"/>
          <w:sz w:val="20"/>
          <w:u w:val="single"/>
        </w:rPr>
        <w:t>Changes in Writing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modification, amendment or waiver of, or consent to any departure by the Borrower from, any provision of this Agreement will be effective unless made in a writing signed by the party to be charged, and then such waiver or consent shall be effective only in the specific instance and for the purpose for which given. Notwithstanding the foregoing, the Bank may modify this Agreement or any of the other Loan Documents for the purposes of completing missing content or correcting erroneous content, without the need for a written amendment, provided that the Bank shall send a copy of any such modification to the Borrower (which notice may be given by electronic mail). No notice to or demand on the Borrower will entitle the Borrower to any other or further notice or demand in the same, similar or other circumstance.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(including the documents and instruments referred to herein) constitutes the entire agreement and supersedes all other prior agreements and understandings, both written and oral, between the parties with respect to the subject matter hereof. The representations, warranties, covenants, and agreements in this Agreement regarding Anti-Corruption Laws, International Trade Laws and Anti-Money Laundering Laws will control to the extent of any inconsistency between any such provisions and any provision in any Note regarding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            </w:t>
      </w:r>
      <w:r>
        <w:rPr>
          <w:rFonts w:ascii="Times New Roman;Times;Serif" w:hAnsi="Times New Roman;Times;Serif"/>
          <w:b/>
          <w:i w:val="false"/>
          <w:caps w:val="false"/>
          <w:smallCaps w:val="false"/>
          <w:sz w:val="20"/>
          <w:u w:val="single"/>
        </w:rPr>
        <w:t>Counterparts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and any other Loan Document may be signed in any number of counterpart copies and by the parties hereto on separate counterparts, but all such copies shall constitute one and the same instrument. Delivery of an executed counterpart of a signature page to this Agreement or any other Loan Document by facsimile transmission shall be effective as delivery of a manually executed counterpart. Any party so executing this Agreement or any other Loan Document by facsimile transmission shall promptly deliver a manually executed counterpart, provided that any failure to do so shall not affect the validity of the counterpart executed by facsimile transmission.</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10.7.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will be binding upon and inure to the benefit of the Borrower and the Bank and their respective heirs, executors, administrators,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may not assign this Agreement in whole or in part without the Bank’s prior written consent and the Bank at any time may assign this Agreement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10.8.            </w:t>
      </w:r>
      <w:r>
        <w:rPr>
          <w:rFonts w:ascii="Times New Roman;Times;Serif" w:hAnsi="Times New Roman;Times;Serif"/>
          <w:b/>
          <w:i w:val="false"/>
          <w:caps w:val="false"/>
          <w:smallCaps w:val="false"/>
          <w:sz w:val="20"/>
          <w:u w:val="single"/>
        </w:rPr>
        <w:t>Interpretation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this Agreement, unless the Bank and the Borrower otherwise agree in writing, the singular includes the plural and the plural the singular; words importing any gender include the other genders;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references to articles, sections (or subdivisions of sections) or exhibits are to those of this Agreement; and references to agreements and other contractual instruments shall be deemed to include all subsequent amendments and other modifications to such instruments, but only to the extent such amendments and other modifications are not prohibited by the terms of this Agreement. Section headings in this Agreement are included for convenience of reference only and shall not constitute a part of this Agreement for any other purpose. Unless otherwise specified in this Agreement, all accounting terms shall be interpreted and all accounting determinations shall be made in accordance with the Applicable Accounting Standards. If this Agreement is executed by more than one party as Borrower, the obligations of such persons or entities will be joint and several.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            </w:t>
      </w:r>
      <w:r>
        <w:rPr>
          <w:rFonts w:ascii="Times New Roman;Times;Serif" w:hAnsi="Times New Roman;Times;Serif"/>
          <w:b/>
          <w:i w:val="false"/>
          <w:caps w:val="false"/>
          <w:smallCaps w:val="false"/>
          <w:sz w:val="20"/>
          <w:u w:val="single"/>
        </w:rPr>
        <w:t>No Consequential Damages, Etc.</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 will not be responsible for any damages, consequential, incidental, special, punitive or otherwise, that may be incurred or alleged by any person or entity, including the Borrower and any Guarantor, as a result of this Agreement, the other Loan Documents, the transactions contemplated hereby or thereby, or the use of the proceeds of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10.10.          </w:t>
      </w:r>
      <w:r>
        <w:rPr>
          <w:rFonts w:ascii="Times New Roman;Times;Serif" w:hAnsi="Times New Roman;Times;Serif"/>
          <w:b/>
          <w:i w:val="false"/>
          <w:caps w:val="false"/>
          <w:smallCaps w:val="false"/>
          <w:sz w:val="20"/>
          <w:u w:val="single"/>
        </w:rPr>
        <w:t>Assignments and Participations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At any time, without any notice to the Borrower, the Bank may sell, assign, transfer, negotiate, grant participations in, or otherwise dispose of all or any part of the Bank’s interest in the Loan. The Borrower hereby authorizes the Bank to provide, without any notice to the Borrower, any information concerning the Borrower, including information pertaining to the Borrower’s financial condition, business operations or general creditworthiness, to any assignee of or participant in or any prospective assignee of or participant in all or any part of the Bank’s interest in the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10.11.          </w:t>
      </w:r>
      <w:r>
        <w:rPr>
          <w:rFonts w:ascii="Times New Roman;Times;Serif" w:hAnsi="Times New Roman;Times;Serif"/>
          <w:b/>
          <w:i w:val="false"/>
          <w:caps w:val="false"/>
          <w:smallCaps w:val="false"/>
          <w:sz w:val="20"/>
          <w:u w:val="single"/>
        </w:rPr>
        <w:t>USA PATRIOT Act Notice</w:t>
      </w:r>
      <w:r>
        <w:rPr>
          <w:rFonts w:ascii="Times New Roman;Times;Serif" w:hAnsi="Times New Roman;Times;Serif"/>
          <w:b/>
          <w:i w:val="false"/>
          <w:caps w:val="false"/>
          <w:smallCaps w:val="false"/>
          <w:sz w:val="20"/>
        </w:rPr>
        <w:t>. To help the government fight the funding of terrorism and money laundering activities, Federal law requires all financial institutions to obtain, verify and record information that identifies each Borrower that opens an account. What this means: when the Borrower opens an account, the Bank will ask for the business name, business address, taxpayer identifying number and other information or documentation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10.12.          </w:t>
      </w:r>
      <w:r>
        <w:rPr>
          <w:rFonts w:ascii="Times New Roman;Times;Serif" w:hAnsi="Times New Roman;Times;Serif"/>
          <w:b/>
          <w:i w:val="false"/>
          <w:caps w:val="false"/>
          <w:smallCaps w:val="false"/>
          <w:sz w:val="20"/>
          <w:u w:val="single"/>
        </w:rPr>
        <w:t>Important Information about Phone Calls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providing telephone number(s) to the Bank, now or at any later time, the Borrower hereby authorizes the Bank and its affiliates and designees to contact the Borrower regarding the Borrower’s account(s) with the Bank or its affiliates, whether such accounts are Borrower’s individual accounts or business accounts for which Borrower is a contact, at such numbers using any means, including but not limited to placing calls using an automated dialing system to cell, VoIP or other wireless phone number, or by leaving prerecorded messages or sending text messages, even if charges may be incurred for the calls or text messages. Borrower hereby consents that any phone call with the Bank may be monitored or recorded by the Bank.</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10.13.          </w:t>
      </w:r>
      <w:r>
        <w:rPr>
          <w:rFonts w:ascii="Times New Roman;Times;Serif" w:hAnsi="Times New Roman;Times;Serif"/>
          <w:b/>
          <w:i w:val="false"/>
          <w:caps w:val="false"/>
          <w:smallCaps w:val="false"/>
          <w:sz w:val="20"/>
          <w:u w:val="single"/>
        </w:rPr>
        <w:t>Confidentiality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connection with the Obligations, this Agreement and the other Loan Documents, the Bank and the Borrower will be providing to each other, whether orally, in writing or in electronic format, nonpublic, confidential or proprietary information (collectively,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Each of the Borrower and the Bank agrees (i) to hold the Confidential Information of the other in confidence; and (ii) not to disclose or permit any other person or entity access to the Confidential Information of the other party, except for disclosure or access (a) to a party’s affiliates and its or their employees, officers, directors, agents, representatives, (b) to other third parties that provide or may provide ancillary support relating to the Obligations, this Agreement and/or the other Loan Documents, (c) in connection with the exercise of any remedies or enforcement of rights under this Agreement or any action or proceeding relating to the Obligations, this Agreement and/or the other Loan Documents, (d) to its external or internal auditors or regulatory authorities, or (e) upon the order of a court or other governmental agency having jurisdiction over a party. It is understood and agreed that the obligation to protect such Confidential Information shall be satisfied if the party receiving such Confidential Information utilizes the same control (but no less than reasonable) as it does to avoid disclosure of its own confidential and valuable information. It is also understood and agreed that no information shall be within the protection of this Agreement where such information: (w) is or becomes publicly available through no fault of the party to whom such Confidential Information has been disclosed, (x) is released by the originating party to anyone without restriction, (y) is rightly obtained from third parties who are not, to such receiving party's knowledge, under an obligation of confidentiality, or (z) is required to be disclosed by subpoena or similar process of applicable law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Agreement, Confidential Information of a party shall include, without limitation, any financial information, scientific or technical information, design, process, procedure or improvement and all concepts, documentation, reports, data, data formats, specifications, computer software, source code, object code, user manuals, financial models, screen displays and formats, software, databases, inventions, knowhow, showhow and trade secrets, whether or not patentable or copyrightable, whether owned by a party or any third party, together with all memoranda, analyses, compilations, studies, notes, records, drawings, manuals or other documents or materials which contain or otherwise reflect any of the foregoing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Borrower and the Bank agrees to return to the other or destroy all Confidential Information of the other upon the termination of this Agreement; provided, however, each party may retain such limited information for customary archival and audit purposes only for reference with respect to prior dealings between the parties subject at all times to the continuing terms of this </w:t>
      </w:r>
      <w:r>
        <w:rPr>
          <w:rFonts w:ascii="Times New Roman;Times;Serif" w:hAnsi="Times New Roman;Times;Serif"/>
          <w:b/>
          <w:i w:val="false"/>
          <w:caps w:val="false"/>
          <w:smallCaps w:val="false"/>
          <w:sz w:val="20"/>
          <w:u w:val="single"/>
        </w:rPr>
        <w:t>Section 10.13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 and the Bank agrees not to use the other's name or logo in any marketing, advertising or related materials, without the prior written consent of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10.14.          </w:t>
      </w:r>
      <w:r>
        <w:rPr>
          <w:rFonts w:ascii="Times New Roman;Times;Serif" w:hAnsi="Times New Roman;Times;Serif"/>
          <w:b/>
          <w:i w:val="false"/>
          <w:caps w:val="false"/>
          <w:smallCaps w:val="false"/>
          <w:sz w:val="20"/>
          <w:u w:val="single"/>
        </w:rPr>
        <w:t>Sharing Information with Affiliates of the Bank</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Borrower acknowledges that from time to time other financial and banking services may be offered or provided to the Borrower or one or more of its subsidiaries and/or affiliates (in connection with this Agreement or otherwise) by the Bank or by one or more subsidiaries or affiliates of the Bank or of The PNC Financial Services Group, Inc., and the Borrower hereby authorizes the Bank to share any information delivered to the Bank by the Borrower and/or its subsidiaries and/or affiliates pursuant to this Agreement or any of the Loan Documents to any subsidiary or affiliate of the Bank and/or The PNC Financial Services Group, Inc., subject to any provisions of confidentiality in this Agreement or any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Electronic Signatures and Records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Notwithstanding any other provision herein, the Borrower agrees that this Agreement, the Loan Documents, any amendments thereto, and any other information, notice, signature card, agreement or authorization related thereto (each, a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10.16.         </w:t>
      </w:r>
      <w:r>
        <w:rPr>
          <w:rFonts w:ascii="Times New Roman;Times;Serif" w:hAnsi="Times New Roman;Times;Serif"/>
          <w:b/>
          <w:i w:val="false"/>
          <w:caps w:val="false"/>
          <w:smallCaps w:val="false"/>
          <w:sz w:val="20"/>
          <w:u w:val="single"/>
        </w:rPr>
        <w:t>Governing Law and Jurisdiction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has been delivered to and accepted by the Bank and will be deemed to be made in the State where the Bank’s office indicated above is located. </w:t>
      </w:r>
      <w:r>
        <w:rPr>
          <w:rFonts w:ascii="Times New Roman;Times;Serif" w:hAnsi="Times New Roman;Times;Serif"/>
          <w:b/>
          <w:i w:val="false"/>
          <w:smallCaps/>
          <w:sz w:val="20"/>
        </w:rPr>
        <w:t>This Agreement will be interpreted and the rights and liabilities of the Bank and the Borrower determined in accordance with the laws of the state where the Bank’s office indicated above is located, excluding its conflict of laws rules, including without limitation the Electronic Transactions Act (or equivalent) in effect in the state where the Bank’s office indicated above is located (or, to the extent controlling, the laws of the United States Of America, including without limitation the Electronic Signatures in Global and National Commerce Act)</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The Borrower hereby irrevocably consents to the exclusive jurisdiction of any state or federal court in the county or judicial district where the Bank’s office indicated above is located; provided that nothing contained in this Agreement will prevent the Bank from bringing any action, enforcing any award or judgment or exercising any rights against the Borrower individually, against any security or against any property of the Borrower within any other county, state or other foreign or domestic jurisdiction. The Bank and the Borrower agree that the venue provided above is the most convenient forum for both the Bank and the Borrower. The Borrower waives any objection to venue and any objection based on a more convenient forum in any action instituted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10.17.       </w:t>
      </w:r>
      <w:r>
        <w:rPr>
          <w:rFonts w:ascii="Times New Roman;Times;Serif" w:hAnsi="Times New Roman;Times;Serif"/>
          <w:b/>
          <w:i w:val="false"/>
          <w:caps w:val="false"/>
          <w:smallCaps w:val="false"/>
          <w:sz w:val="20"/>
          <w:u w:val="single"/>
        </w:rPr>
        <w:t>Joint and Several Obligations of Borrowers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is accepting joint and several liability hereunder and under the other Loan Documents in consideration of the financial accommodations to be provided by the Bank under this Agreement, for the mutual benefit, directly and indirectly, of each Borrower and in consideration of the undertakings of the other Borrowers to accept joint and several liability for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Borrower, jointly and severally, hereby irrevocably and unconditionally accepts, not merely as a surety but also as a co-debtor, joint and several liability with each other Borrower, with respect to the payment and performance of all of the Obligations (including any Obligations arising under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it being the intention of the parties hereto that all the Obligations shall be the joint and several obligations of each Borrower without preferences or distinction among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and to the extent that any Borrower shall fail to make any payment with respect to any of the Obligations as and when due or to perform any of the Obligations in accordance with the terms thereof, then in each such event the other Persons constituting Borrowers will make such payment with respect to, or perform, such Obligation until such time as all of the Obligations are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Obligations of each Borrower under the provisions of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constitute the absolute and unconditional, full recourse Obligations of each Borrower enforceable against each Borrower, irrespective of the validity, regularity or enforceability of the provisions of this Agreement or any other circumstances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otherwise expressly provided in this Agreement, each Borrower hereby waives notice of acceptance of its joint and several liability, notice of any Loans issued under or pursuant to this Agreement, notice of the occurrence of any Default, Event of Default, or of any demand for any payment under this Agreement, notice of any action at any time taken or omitted by the Bank under or in respect of any of the Obligations, any requirement of diligence or to mitigate damages and, generally, to the extent permitted by applicable Law, all demands, notices and other formalities of every kind in connection with this Agreement (except as otherwise provided in this Agreement).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the Bank at any time or times in respect of any default by any Borrower in the performance or satisfaction of any term, covenant, condition or provision of this Agreement, any and all other indulgences whatsoever by the Bank in respect of any of the Obligations, and the taking, addition, substitution or release, in 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the Bank with respect to the failure by any Borrower to comply with any of its respective Obligations, including, without limitation, any failure strictly or diligently to assert any right or to pursue any remedy or to comply fully with applicable Laws or regulations thereunder, which might, but for the provisions of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afford grounds for terminating, discharging or relieving any Borrower, in whole or in part, from any of its Obligations under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it being the intention of each Borrower that, so long as any of the Obligations hereunder remain unsatisfied, the Obligations of each Borrower under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shall not be discharged except by performance and then only to the extent of such performance. The Obligations of each Borrower under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shall not be diminished or rendered unenforceable by any winding up, reorganization, arrangement, liquidation, reconstruction or similar proceeding with respect to any other Borrower or the Bank.</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Borrower represents and warrants to the Bank that such Borrower is currently informed of the financial condition of each other Borrower and of all other circumstances which a diligent inquiry would reveal and which bear upon the risk of nonpayment of the Obligations. Each Borrower further represents and warrants to the Bank that such Borrower has read and understands the terms and conditions of the Loan Documents. Each Borrower hereby covenants that such Borrower will continue to keep informed of the Borrowers’ financial condition and of all other circumstances which bear upon the risk of nonpayment or nonperformance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are made for the benefit of Bank and its successors and assigns, and may be enforced by it or them from time to time against any or all Borrowers individually or collectively as often as occasion therefor may arise and without requirement on the part of the Bank or any of its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the Bank upon the insolvency, bankruptcy or reorganization of any Borrower, or otherwise, the provisions of this </w:t>
      </w:r>
      <w:r>
        <w:rPr>
          <w:rFonts w:ascii="Times New Roman;Times;Serif" w:hAnsi="Times New Roman;Times;Serif"/>
          <w:b/>
          <w:i w:val="false"/>
          <w:caps w:val="false"/>
          <w:smallCaps w:val="false"/>
          <w:sz w:val="20"/>
          <w:u w:val="single"/>
        </w:rPr>
        <w:t>Section 10.17</w:t>
      </w:r>
      <w:r>
        <w:rPr>
          <w:rFonts w:ascii="Times New Roman;Times;Serif" w:hAnsi="Times New Roman;Times;Serif"/>
          <w:b w:val="false"/>
          <w:i w:val="false"/>
          <w:caps w:val="false"/>
          <w:smallCaps w:val="false"/>
          <w:sz w:val="20"/>
        </w:rPr>
        <w:t xml:space="preserve"> will forthwith be reinstated in effect, as though such payment had not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Borrower hereby agrees that it will not enforce any of its rights of contribution or subrogation against any other Borrower with respect to any liability incurred by it hereunder or under any of the other Loan Documents, any payments made by it to the Bank with respect to any of the Obligations or any collateral security therefor until such time as all of the Obligations have been paid in full in cash. Any claim which any Borrower may have against any other Borrower with respect to any payments to the Bank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Borrower hereby agrees that after the occurrence and during the continuance of any Default or Event of Default, such Borrower will not demand, sue for or otherwise attempt to collect any indebtedness of any other Borrower owing to such Borrower until the Obligations shall have been paid in full in cash. If, notwithstanding the foregoing sentence, such Borrower shall collect, enforce or receive any amounts in respect of such indebtedness, such amounts shall be collected, enforced and received by such Borrower as trustee for the Bank, and such Borrower shall deliver any such amounts to the Bank for application to the Obligations.</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10.18.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EACH OF THE BORROWER AND THE BANK IRREVOCABLY WAIVES ANY AND ALL RIGHT IT MAY HAVE TO A TRIAL BY JURY IN ANY ACTION, PROCEEDING OR CLAIM OF ANY NATURE RELATING TO THIS AGREEMENT, ANY DOCUMENTS EXECUTED IN CONNECTION WITH THIS AGREEMENT OR ANY TRANSACTION CONTEMPLATED IN ANY OF SUCH DOCUMENTS. THE BORROWER AND THE BANK ACKNOWLEDGE THAT THE FOREGOING WAIVER IS KNOWING AND VOLUNTARY.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acknowledges that it has read and understands all the provisions of this Agreement, including the waiver of jury trial, and has been advised by counsel as necessary or appropriate.</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xml:space="preserve"> the due execution hereof as a document under seal,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60"/>
        <w:gridCol w:w="669"/>
        <w:gridCol w:w="34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Moatable US Holdco, Inc., a Delaware corporation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3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514" w:type="dxa"/>
        <w:jc w:val="left"/>
        <w:tblInd w:w="0" w:type="dxa"/>
        <w:tblLayout w:type="fixed"/>
        <w:tblCellMar>
          <w:top w:w="0" w:type="dxa"/>
          <w:left w:w="0" w:type="dxa"/>
          <w:bottom w:w="0" w:type="dxa"/>
          <w:right w:w="0" w:type="dxa"/>
        </w:tblCellMar>
      </w:tblPr>
      <w:tblGrid>
        <w:gridCol w:w="75"/>
        <w:gridCol w:w="60"/>
        <w:gridCol w:w="1033"/>
        <w:gridCol w:w="2346"/>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346"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6"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3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Lofty Inc., a Delaware corporation</w:t>
            </w:r>
          </w:p>
        </w:tc>
      </w:tr>
      <w:tr>
        <w:trPr/>
        <w:tc>
          <w:tcPr>
            <w:tcW w:w="135" w:type="dxa"/>
            <w:gridSpan w:val="2"/>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bl>
    <w:p>
      <w:pPr>
        <w:pStyle w:val="TextBody"/>
        <w:bidi w:val="0"/>
        <w:spacing w:before="0" w:after="283"/>
        <w:jc w:val="left"/>
        <w:rPr/>
      </w:pPr>
      <w:r>
        <w:rPr/>
        <w:t> </w:t>
      </w:r>
    </w:p>
    <w:tbl>
      <w:tblPr>
        <w:tblW w:w="2058" w:type="dxa"/>
        <w:jc w:val="left"/>
        <w:tblInd w:w="0" w:type="dxa"/>
        <w:tblLayout w:type="fixed"/>
        <w:tblCellMar>
          <w:top w:w="0" w:type="dxa"/>
          <w:left w:w="0" w:type="dxa"/>
          <w:bottom w:w="0" w:type="dxa"/>
          <w:right w:w="0" w:type="dxa"/>
        </w:tblCellMar>
      </w:tblPr>
      <w:tblGrid>
        <w:gridCol w:w="38"/>
        <w:gridCol w:w="60"/>
        <w:gridCol w:w="32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559" w:type="dxa"/>
        <w:jc w:val="left"/>
        <w:tblInd w:w="0" w:type="dxa"/>
        <w:tblLayout w:type="fixed"/>
        <w:tblCellMar>
          <w:top w:w="0" w:type="dxa"/>
          <w:left w:w="0" w:type="dxa"/>
          <w:bottom w:w="0" w:type="dxa"/>
          <w:right w:w="0" w:type="dxa"/>
        </w:tblCellMar>
      </w:tblPr>
      <w:tblGrid>
        <w:gridCol w:w="75"/>
        <w:gridCol w:w="60"/>
        <w:gridCol w:w="1047"/>
        <w:gridCol w:w="2377"/>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377"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77"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4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Trucker Path, Inc., a Delaware corporation</w:t>
            </w:r>
          </w:p>
        </w:tc>
      </w:tr>
      <w:tr>
        <w:trPr/>
        <w:tc>
          <w:tcPr>
            <w:tcW w:w="135" w:type="dxa"/>
            <w:gridSpan w:val="2"/>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75"/>
        <w:gridCol w:w="60"/>
        <w:gridCol w:w="320"/>
        <w:gridCol w:w="1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340" w:type="dxa"/>
        <w:jc w:val="left"/>
        <w:tblInd w:w="0" w:type="dxa"/>
        <w:tblLayout w:type="fixed"/>
        <w:tblCellMar>
          <w:top w:w="0" w:type="dxa"/>
          <w:left w:w="0" w:type="dxa"/>
          <w:bottom w:w="0" w:type="dxa"/>
          <w:right w:w="0" w:type="dxa"/>
        </w:tblCellMar>
      </w:tblPr>
      <w:tblGrid>
        <w:gridCol w:w="75"/>
        <w:gridCol w:w="60"/>
        <w:gridCol w:w="980"/>
        <w:gridCol w:w="22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0" w:type="dxa"/>
          <w:right w:w="0" w:type="dxa"/>
        </w:tblCellMar>
      </w:tblPr>
      <w:tblGrid>
        <w:gridCol w:w="75"/>
        <w:gridCol w:w="3530"/>
      </w:tblGrid>
      <w:tr>
        <w:trPr/>
        <w:tc>
          <w:tcPr>
            <w:tcW w:w="75"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PNC BANK, NATIONAL ASSOCIATION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095" w:type="dxa"/>
        <w:jc w:val="left"/>
        <w:tblInd w:w="0" w:type="dxa"/>
        <w:tblLayout w:type="fixed"/>
        <w:tblCellMar>
          <w:top w:w="0" w:type="dxa"/>
          <w:left w:w="0" w:type="dxa"/>
          <w:bottom w:w="0" w:type="dxa"/>
          <w:right w:w="0" w:type="dxa"/>
        </w:tblCellMar>
      </w:tblPr>
      <w:tblGrid>
        <w:gridCol w:w="75"/>
        <w:gridCol w:w="60"/>
        <w:gridCol w:w="320"/>
        <w:gridCol w:w="1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Breck Saucier</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745" w:type="dxa"/>
        <w:jc w:val="left"/>
        <w:tblInd w:w="0" w:type="dxa"/>
        <w:tblLayout w:type="fixed"/>
        <w:tblCellMar>
          <w:top w:w="0" w:type="dxa"/>
          <w:left w:w="0" w:type="dxa"/>
          <w:bottom w:w="0" w:type="dxa"/>
          <w:right w:w="0" w:type="dxa"/>
        </w:tblCellMar>
      </w:tblPr>
      <w:tblGrid>
        <w:gridCol w:w="75"/>
        <w:gridCol w:w="60"/>
        <w:gridCol w:w="980"/>
        <w:gridCol w:w="26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630" w:type="dxa"/>
            <w:tcBorders>
              <w:bottom w:val="single" w:sz="8" w:space="0" w:color="000000"/>
            </w:tcBorders>
            <w:tcMar>
              <w:bottom w:w="28" w:type="dxa"/>
            </w:tcMar>
            <w:vAlign w:val="center"/>
          </w:tcPr>
          <w:p>
            <w:pPr>
              <w:pStyle w:val="TableContents"/>
              <w:bidi w:val="0"/>
              <w:spacing w:before="0" w:after="283"/>
              <w:jc w:val="left"/>
              <w:rPr/>
            </w:pPr>
            <w:r>
              <w:rPr/>
              <w:t>Breck Saucier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30" w:type="dxa"/>
            <w:tcBorders>
              <w:bottom w:val="single" w:sz="8" w:space="0" w:color="000000"/>
            </w:tcBorders>
            <w:tcMar>
              <w:bottom w:w="28" w:type="dxa"/>
            </w:tcMar>
            <w:vAlign w:val="center"/>
          </w:tcPr>
          <w:p>
            <w:pPr>
              <w:pStyle w:val="TableContents"/>
              <w:bidi w:val="0"/>
              <w:spacing w:before="0" w:after="283"/>
              <w:jc w:val="left"/>
              <w:rPr/>
            </w:pPr>
            <w:r>
              <w:rPr/>
              <w:t>SVP/Relationship Manager</w:t>
            </w:r>
          </w:p>
        </w:tc>
      </w:tr>
    </w:tbl>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jc w:val="right"/>
        <w:rPr>
          <w:b/>
        </w:rPr>
      </w:pPr>
      <w:bookmarkStart w:id="21" w:name="tm2525936d1_ex10-2.htm"/>
      <w:bookmarkStart w:id="22" w:name="kstm2525936d1_ex102"/>
      <w:bookmarkEnd w:id="21"/>
      <w:bookmarkEnd w:id="22"/>
      <w:r>
        <w:rPr>
          <w:b/>
        </w:rPr>
        <w:t>Exhibit 10.2</w:t>
      </w:r>
      <w:r>
        <w:br w:type="page"/>
      </w:r>
    </w:p>
    <w:p>
      <w:pPr>
        <w:pStyle w:val="TextBody"/>
        <w:bidi w:val="0"/>
        <w:jc w:val="right"/>
        <w:rPr/>
      </w:pPr>
      <w:r>
        <w:rPr/>
        <w:t> </w:t>
      </w:r>
    </w:p>
    <w:tbl>
      <w:tblPr>
        <w:tblW w:w="4916" w:type="dxa"/>
        <w:jc w:val="left"/>
        <w:tblInd w:w="0" w:type="dxa"/>
        <w:tblLayout w:type="fixed"/>
        <w:tblCellMar>
          <w:top w:w="0" w:type="dxa"/>
          <w:left w:w="0" w:type="dxa"/>
          <w:bottom w:w="0" w:type="dxa"/>
          <w:right w:w="0" w:type="dxa"/>
        </w:tblCellMar>
      </w:tblPr>
      <w:tblGrid>
        <w:gridCol w:w="3020"/>
        <w:gridCol w:w="1896"/>
      </w:tblGrid>
      <w:tr>
        <w:trPr/>
        <w:tc>
          <w:tcPr>
            <w:tcW w:w="3020" w:type="dxa"/>
            <w:tcBorders/>
            <w:vAlign w:val="center"/>
          </w:tcPr>
          <w:p>
            <w:pPr>
              <w:pStyle w:val="TableContents"/>
              <w:bidi w:val="0"/>
              <w:spacing w:before="0" w:after="283"/>
              <w:jc w:val="left"/>
              <w:rPr/>
            </w:pPr>
            <w:r>
              <w:rPr>
                <w:b/>
                <w:sz w:val="36"/>
              </w:rPr>
              <w:t>Line of Credit Note</w:t>
            </w:r>
            <w:r>
              <w:rPr/>
              <w:br/>
            </w:r>
            <w:r>
              <w:rPr>
                <w:b/>
                <w:sz w:val="28"/>
              </w:rPr>
              <w:t>(Daily SOFR)</w:t>
            </w:r>
          </w:p>
        </w:tc>
        <w:tc>
          <w:tcPr>
            <w:tcW w:w="1896" w:type="dxa"/>
            <w:tcBorders/>
            <w:vAlign w:val="center"/>
          </w:tcPr>
          <w:p>
            <w:pPr>
              <w:pStyle w:val="TableContents"/>
              <w:bidi w:val="0"/>
              <w:spacing w:before="0" w:after="283"/>
              <w:jc w:val="right"/>
              <w:rPr/>
            </w:pPr>
            <w:r>
              <w:rPr/>
              <w:drawing>
                <wp:inline distT="0" distB="0" distL="0" distR="0">
                  <wp:extent cx="120396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3960" cy="57150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400"/>
        <w:gridCol w:w="1925"/>
      </w:tblGrid>
      <w:tr>
        <w:trPr/>
        <w:tc>
          <w:tcPr>
            <w:tcW w:w="1400" w:type="dxa"/>
            <w:tcBorders/>
            <w:vAlign w:val="center"/>
          </w:tcPr>
          <w:p>
            <w:pPr>
              <w:pStyle w:val="TableContents"/>
              <w:bidi w:val="0"/>
              <w:spacing w:before="0" w:after="283"/>
              <w:jc w:val="left"/>
              <w:rPr/>
            </w:pPr>
            <w:r>
              <w:rPr/>
              <w:t>$9,750,000.00</w:t>
            </w:r>
          </w:p>
        </w:tc>
        <w:tc>
          <w:tcPr>
            <w:tcW w:w="1925" w:type="dxa"/>
            <w:tcBorders/>
            <w:vAlign w:val="center"/>
          </w:tcPr>
          <w:p>
            <w:pPr>
              <w:pStyle w:val="TableContents"/>
              <w:bidi w:val="0"/>
              <w:spacing w:before="0" w:after="283"/>
              <w:jc w:val="left"/>
              <w:rPr/>
            </w:pPr>
            <w:r>
              <w:rPr/>
              <w:t>September 11,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Moatable US Holdco, Inc., a Delaware corporation, Lofty Inc., a Delaware corporation, and Trucker Path, Inc., a Delaware corporation (individually or collectively, jointly and severally,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xml:space="preserve">”), with an address at 45 West Buchanan Street, Phoenix, Arizona 85003, promises to pay to the order of </w:t>
      </w:r>
      <w:r>
        <w:rPr>
          <w:rFonts w:ascii="Times New Roman;Times;Serif" w:hAnsi="Times New Roman;Times;Serif"/>
          <w:b/>
          <w:i w:val="false"/>
          <w:caps w:val="false"/>
          <w:smallCaps w:val="false"/>
          <w:sz w:val="20"/>
        </w:rPr>
        <w:t xml:space="preserve">PNC BANK, NATIONAL ASSOCIATION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Bank</w:t>
      </w:r>
      <w:r>
        <w:rPr>
          <w:rFonts w:ascii="Times New Roman;Times;Serif" w:hAnsi="Times New Roman;Times;Serif"/>
          <w:b w:val="false"/>
          <w:i w:val="false"/>
          <w:caps w:val="false"/>
          <w:smallCaps w:val="false"/>
          <w:sz w:val="20"/>
        </w:rPr>
        <w:t>”), in lawful money of the United States of America in immediately available funds at its offices located at 2801 East Camelback Road, Suite 400, Phoenix, Arizona 85016, or at such other location as the Bank may designate from time to time, the principal sum of $9,750,000.00 (the “</w:t>
      </w:r>
      <w:r>
        <w:rPr>
          <w:rFonts w:ascii="Times New Roman;Times;Serif" w:hAnsi="Times New Roman;Times;Serif"/>
          <w:b/>
          <w:i w:val="false"/>
          <w:caps w:val="false"/>
          <w:smallCaps w:val="false"/>
          <w:sz w:val="20"/>
        </w:rPr>
        <w:t>Facility</w:t>
      </w:r>
      <w:r>
        <w:rPr>
          <w:rFonts w:ascii="Times New Roman;Times;Serif" w:hAnsi="Times New Roman;Times;Serif"/>
          <w:b w:val="false"/>
          <w:i w:val="false"/>
          <w:caps w:val="false"/>
          <w:smallCaps w:val="false"/>
          <w:sz w:val="20"/>
        </w:rPr>
        <w:t>”) or such lesser amount as may be advanced to or for the benefit of the Borrower hereunder, together with interest accruing on the outstanding principal balance from the date hereof, all as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Advances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Line of Credit Note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evidences a non-revolving line of credit. During the period from the date of this Note to and including the Maturity Date, the Borrower may borrow hereunder (but may not reborrow after repayment), subject to the terms and conditions of this Note and the Loan Documents (as defined below). In no event shall the aggregate unpaid principal amount of advances under this Note exceed the face amount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Interest Rate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Amounts outstanding under this Note will bear interest at a rate per annum (the “</w:t>
      </w:r>
      <w:r>
        <w:rPr>
          <w:rFonts w:ascii="Times New Roman;Times;Serif" w:hAnsi="Times New Roman;Times;Serif"/>
          <w:b/>
          <w:i w:val="false"/>
          <w:caps w:val="false"/>
          <w:smallCaps w:val="false"/>
          <w:sz w:val="20"/>
        </w:rPr>
        <w:t>Daily Rate</w:t>
      </w:r>
      <w:r>
        <w:rPr>
          <w:rFonts w:ascii="Times New Roman;Times;Serif" w:hAnsi="Times New Roman;Times;Serif"/>
          <w:b w:val="false"/>
          <w:i w:val="false"/>
          <w:caps w:val="false"/>
          <w:smallCaps w:val="false"/>
          <w:sz w:val="20"/>
        </w:rPr>
        <w:t xml:space="preserve">”) equal to the sum of (i) Daily SOFR (as defined below)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an unadjusted spread of 150 basis points (1.50%)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a SOFR adjustment of 10 basis points (0.10%).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Payments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Interest only shall be due and payable monthly, commencing on October 1, 2025, and continuing on the first day of each month thereafter until the Maturity Date, when all outstanding principal and accrued interest shall be due and payable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Certain Definitions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following terms are used in this Note, such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Rate</w:t>
      </w:r>
      <w:r>
        <w:rPr>
          <w:rFonts w:ascii="Times New Roman;Times;Serif" w:hAnsi="Times New Roman;Times;Serif"/>
          <w:b w:val="false"/>
          <w:i w:val="false"/>
          <w:caps w:val="false"/>
          <w:smallCaps w:val="false"/>
          <w:sz w:val="20"/>
        </w:rPr>
        <w:t xml:space="preserve">” means the sum of (A) the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50 basis points (0.50%).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Rate</w:t>
      </w:r>
      <w:r>
        <w:rPr>
          <w:rFonts w:ascii="Times New Roman;Times;Serif" w:hAnsi="Times New Roman;Times;Serif"/>
          <w:b w:val="false"/>
          <w:i w:val="false"/>
          <w:caps w:val="false"/>
          <w:smallCaps w:val="false"/>
          <w:sz w:val="20"/>
        </w:rPr>
        <w:t xml:space="preserve">” means the higher of (A) the Prime Rate and (B) the sum of the Overnight Bank Funding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50 basis points (0.50%);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if the Base Rate as determined above would be less than zero, then such rate shall be deemed to be zero. If and when the Base Rate as determined above changes, the rate of interest with respect to any amounts hereunder to which the Base Rate applies will change automatically without notice to the Borrower, effective on the date of any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a Saturday or Sunday or (B) a legal holiday on which commercial banks are authorized or required by law to be closed for business in Pittsburgh, Pennsylvania;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 used in connection with an amount that bears interest at a rate based on SOFR or any direct or indirect calculation or determination involving SOFR, the term “Business Day” means any such day that is </w:t>
      </w:r>
      <w:r>
        <w:rPr>
          <w:rFonts w:ascii="Times New Roman;Times;Serif" w:hAnsi="Times New Roman;Times;Serif"/>
          <w:b w:val="false"/>
          <w:i w:val="false"/>
          <w:caps w:val="false"/>
          <w:smallCaps w:val="false"/>
          <w:sz w:val="20"/>
          <w:u w:val="single"/>
        </w:rPr>
        <w:t>also</w:t>
      </w:r>
      <w:r>
        <w:rPr>
          <w:rFonts w:ascii="Times New Roman;Times;Serif" w:hAnsi="Times New Roman;Times;Serif"/>
          <w:b w:val="false"/>
          <w:i w:val="false"/>
          <w:caps w:val="false"/>
          <w:smallCaps w:val="false"/>
          <w:sz w:val="20"/>
        </w:rPr>
        <w:t xml:space="preserve"> a U.S. Government Securities Business Day.</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i w:val="false"/>
          <w:caps w:val="false"/>
          <w:smallCaps w:val="false"/>
          <w:sz w:val="20"/>
        </w:rPr>
        <w:t>SOFR Rate Day</w:t>
      </w:r>
      <w:r>
        <w:rPr>
          <w:rFonts w:ascii="Times New Roman;Times;Serif" w:hAnsi="Times New Roman;Times;Serif"/>
          <w:b w:val="false"/>
          <w:i w:val="false"/>
          <w:caps w:val="false"/>
          <w:smallCaps w:val="false"/>
          <w:sz w:val="20"/>
        </w:rPr>
        <w:t>”), the interest rate per annum determined by the Bank by dividing (the resulting quotient rounded upwards, at the Bank’s discretion, to the nearest 1/100th of 1%) (A) SOFR for the day (the “</w:t>
      </w:r>
      <w:r>
        <w:rPr>
          <w:rFonts w:ascii="Times New Roman;Times;Serif" w:hAnsi="Times New Roman;Times;Serif"/>
          <w:b/>
          <w:i w:val="false"/>
          <w:caps w:val="false"/>
          <w:smallCaps w:val="false"/>
          <w:sz w:val="20"/>
        </w:rPr>
        <w:t>SOFR Determination Date</w:t>
      </w:r>
      <w:r>
        <w:rPr>
          <w:rFonts w:ascii="Times New Roman;Times;Serif" w:hAnsi="Times New Roman;Times;Serif"/>
          <w:b w:val="false"/>
          <w:i w:val="false"/>
          <w:caps w:val="false"/>
          <w:smallCaps w:val="false"/>
          <w:sz w:val="20"/>
        </w:rPr>
        <w:t xml:space="preserve">”) that is 2 Business Days prior to (i) such SOFR Rate Day if such SOFR Rate Day is a Business Day or (ii) the Business Day immediately preceding such SOFR Rate Day if such SOFR Rate Day is not a Business Day, by (B) a number equal to 1.00 minus the SOFR Reserve Percentage, in each case, as such SOFR is published by the NYFRB (or a successor administrator of the secured overnight financing rate) on the website of the NYFRB, currently at http://www.newyorkfed.org, or any successor source identified by the NYFRB or its successor administrator for the secured overnight financing rate from time to time. If Daily Simple SOFR as determined above would be less than the Floor, then Daily Simple SOFR shall be deemed to be the Floor. If SOFR for any SOFR Determination Date has not been published or replaced with a Benchmark Replacement (as defined below)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Daily SOFR</w:t>
      </w:r>
      <w:r>
        <w:rPr>
          <w:rFonts w:ascii="Times New Roman;Times;Serif" w:hAnsi="Times New Roman;Times;Serif"/>
          <w:b w:val="false"/>
          <w:i w:val="false"/>
          <w:caps w:val="false"/>
          <w:smallCaps w:val="false"/>
          <w:sz w:val="20"/>
        </w:rPr>
        <w:t>” means Daily Simple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xml:space="preserve">” means the rate per annum equal to the lesser of (A) the sum of 2.00%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interest rate otherwise in effect from time to time under this Note and (B) the Maximum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Floor</w:t>
      </w:r>
      <w:r>
        <w:rPr>
          <w:rFonts w:ascii="Times New Roman;Times;Serif" w:hAnsi="Times New Roman;Times;Serif"/>
          <w:b w:val="false"/>
          <w:i w:val="false"/>
          <w:caps w:val="false"/>
          <w:smallCaps w:val="false"/>
          <w:sz w:val="20"/>
        </w:rPr>
        <w:t>” means a rate of interest per annum equal to zero basis points (0.00%) or, if the preceding blanks are not completed, then zero.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October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Maximum Rate</w:t>
      </w:r>
      <w:r>
        <w:rPr>
          <w:rFonts w:ascii="Times New Roman;Times;Serif" w:hAnsi="Times New Roman;Times;Serif"/>
          <w:b w:val="false"/>
          <w:i w:val="false"/>
          <w:caps w:val="false"/>
          <w:smallCaps w:val="false"/>
          <w:sz w:val="20"/>
        </w:rPr>
        <w:t>” means the maximum rate of interest allowed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Overnight Bank Funding Rate</w:t>
      </w:r>
      <w:r>
        <w:rPr>
          <w:rFonts w:ascii="Times New Roman;Times;Serif" w:hAnsi="Times New Roman;Times;Serif"/>
          <w:b w:val="false"/>
          <w:i w:val="false"/>
          <w:caps w:val="false"/>
          <w:smallCaps w:val="false"/>
          <w:sz w:val="20"/>
        </w:rPr>
        <w:t xml:space="preserve">” means, for any day, the rate comprised of both overnight federal funds and overnight Eurocurrency 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day is not a Business Day, the Overnight Bank Funding Rate for such day shall be such rate on the immediately preceding Business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Prime Rate</w:t>
      </w:r>
      <w:r>
        <w:rPr>
          <w:rFonts w:ascii="Times New Roman;Times;Serif" w:hAnsi="Times New Roman;Times;Serif"/>
          <w:b w:val="false"/>
          <w:i w:val="false"/>
          <w:caps w:val="false"/>
          <w:smallCaps w:val="false"/>
          <w:sz w:val="20"/>
        </w:rPr>
        <w:t>” means the rate publicly announced by the Bank from time to time as its prime rate. The Prime Rate is determined from time to 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NYFRB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SOFR Reserve Percentage</w:t>
      </w:r>
      <w:r>
        <w:rPr>
          <w:rFonts w:ascii="Times New Roman;Times;Serif" w:hAnsi="Times New Roman;Times;Serif"/>
          <w:b w:val="false"/>
          <w:i w:val="false"/>
          <w:caps w:val="false"/>
          <w:smallCaps w:val="false"/>
          <w:sz w:val="20"/>
        </w:rPr>
        <w:t>” means, for any day, the maximum effective percentage in effect on such day, if any, as prescribed by the Board of Governors of the Federal Reserve System (or any successor) for determining the reserve requirements (including, without limitation, supplemental, marginal and emergency reserve requirements) with respect to SOFR funding. </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Bank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Advance Procedures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permitted by the Bank, a request for advance may be made by telephone or electronic mail, or delivered in accordance with the Bank’s security procedures through any automated platform or 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Interest Calculation; Maximum Rate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Interest will be calculated based on the actual number of days that principal is outstanding over a year of 360 days. In no event will the effective rate of interest hereunder, inclusive of all fees, charges, and other amounts that are treated as interest under applicable law, exceed the Maximum Rate. Regardless of any other provision of this Note or the other Loan Documents, if for any reason such effective interest rate should exceed the Maximum Rate, such effective interest rate shall be deemed reduced to, and shall be, the Maximum Rate, and (i) the amount which would be excessive interest shall be deemed applied to the reduction of the principal balance of this Note and not to the payment of interest, and (ii)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Conforming Changes; Benchmark Replacement Provisions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Bank shall have the right to make any technical, administrative or operational changes from time to time that the Bank decides may be appropriate to reflect the adoption and implementation of SOFR or any other Benchmark (as defined below) or to permit the use and administration thereof by the Bank in a manner substantially consistent with market practice or in such other manner as the Bank decides is reasonably necessary. Notwithstanding anything to the contrary herein or in any other Loan Document, any amendments implementing such technical, administrative or operational changes will become effective without any further action or consent of the Borrower. The Bank shall provide notice to the Borrower of any such amendment reasonably promptly after such amendment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applicable interest rate under this Note is based on a Benchmark and the Bank determines (which determination shall be final and conclusive) that (A) such Benchmark cannot be determined pursuant to its definition other than as a result of a Benchmark Transition Event (as defined below),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impracticable for the Bank to make or maintain or fund loans based on that Benchmark, then the Bank shall give notice thereof to the Borrower. Thereafter, until the Bank notifies the Borrower that the circumstances giving rise to such determination no longer exist, the interest rate on all amounts outstanding under this Note shall be the Alternate Rate.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or in any other Loan Document, if the Bank determines (which determination shall be final and conclusive) that a Benchmark Transition Event has occurred with respect to a Benchmark, the Bank may amend this Note to replace such Benchmark with a Benchmark Replacement; and any such amendment shall be in writing, shall specify the date that the Benchmark Replacement is effective and will not require any further action or consent of the Borrower. Until the Benchmark Replacement is effective, amounts bearing interest with reference to a Benchmark will continue to bear interest with reference to such Benchmark as long as such Benchmark is available, and otherwise such amounts automatically will bear interest at the Alternate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the following terms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w:t>
      </w:r>
      <w:r>
        <w:rPr>
          <w:rFonts w:ascii="Times New Roman;Times;Serif" w:hAnsi="Times New Roman;Times;Serif"/>
          <w:b w:val="false"/>
          <w:i w:val="false"/>
          <w:caps w:val="false"/>
          <w:smallCaps w:val="false"/>
          <w:sz w:val="20"/>
        </w:rPr>
        <w:t>” means, at any time, any interest rate index then used in the determination of an interest rate under the terms of this Note. Once a Benchmark Replacement becomes effective under this Note, it is a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Replacement</w:t>
      </w:r>
      <w:r>
        <w:rPr>
          <w:rFonts w:ascii="Times New Roman;Times;Serif" w:hAnsi="Times New Roman;Times;Serif"/>
          <w:b w:val="false"/>
          <w:i w:val="false"/>
          <w:caps w:val="false"/>
          <w:smallCaps w:val="false"/>
          <w:sz w:val="20"/>
        </w:rPr>
        <w:t xml:space="preserve">” means, for any Benchmark, the sum of (a) an alternate benchmark rate and (b) an adjustment (which may be a positive or negative value or zero), in each case that has been selected by the Bank as the replacement for such Benchmark giving due consideration to any evolving or then-prevailing market convention, including any applicable recommendations made by the official sector or any official sector-sponsored committee or working group, for U.S. dollar-denominated credit facilities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Benchmark Replacement as determined pursuant to the foregoing would be less than the Floor, the Benchmark Replacement will be deemed to be the Floor for the purposes of this Note and the other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Benchmark Transition Event</w:t>
      </w:r>
      <w:r>
        <w:rPr>
          <w:rFonts w:ascii="Times New Roman;Times;Serif" w:hAnsi="Times New Roman;Times;Serif"/>
          <w:b w:val="false"/>
          <w:i w:val="false"/>
          <w:caps w:val="false"/>
          <w:smallCaps w:val="false"/>
          <w:sz w:val="20"/>
        </w:rPr>
        <w:t>” means a public statement or publication by or on behalf of the administrator of a Benchmark, the regulatory supervisor of such administrator, the Board of Governors of the Federal Reserve System, NYFRB, an insolvency official or resolution authority with jurisdiction over the administrator for such Benchmark or a court or an entity with similar insolvency or resolution authority over the administrator for such Benchmark, announcing or stating that (a) such administrator has ceased or will cease to provide such Benchmark permanently or indefinitely, provided that at the time of such statement or publication there is no successor administrator that will continue to provide such Benchmark or (b) such Benchmark is or will no longer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Other Payment Terms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any payment under this Note is due on a day of a calendar month for which there is no numerically corresponding day in certain other months (each, a “</w:t>
      </w:r>
      <w:r>
        <w:rPr>
          <w:rFonts w:ascii="Times New Roman;Times;Serif" w:hAnsi="Times New Roman;Times;Serif"/>
          <w:b/>
          <w:i w:val="false"/>
          <w:caps w:val="false"/>
          <w:smallCaps w:val="false"/>
          <w:sz w:val="20"/>
        </w:rPr>
        <w:t>Non-Conforming Month</w:t>
      </w:r>
      <w:r>
        <w:rPr>
          <w:rFonts w:ascii="Times New Roman;Times;Serif" w:hAnsi="Times New Roman;Times;Serif"/>
          <w:b w:val="false"/>
          <w:i w:val="false"/>
          <w:caps w:val="false"/>
          <w:smallCaps w:val="false"/>
          <w:sz w:val="20"/>
        </w:rPr>
        <w:t>”), then the payment in a Non-Conforming Month shall be due on the last Business Day of such Non-Conforming Month. If any payment under this Note shall become due on a day other than a Business Day, such payment shall be due on the next succeeding Business Day, except that if such day falls in the next succeeding calendar month, such payment 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expenses (including attorneys’ fees), accrued interest and principal in any order the Bank may choose, in its sole discretion. Any amortization schedule provided to Borrower is only an estimate and is superseded by the terms of this Note regarding the accrual and payment of interest. The Level Payment Amount (if applicable) will be calculated on the assumption that each periodic payment will be made on the date when due, and if there is any variation in the actual payment dates, there may be an additional amount due upon maturity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Late Payments; Default Rate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the Borrower fails to make any payment of principal, interest or other amount coming due pursuant to the provisions of this Note within 15 calendar days of the date due and payable, the Borrower also shall pay to the Bank a late charge equal to the lesser of 5% of the amount of such payment or $100.00 (the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Prepayment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shall have the right to prepay any amounts outstanding hereunder at any time and from time to time, in whole or in part; subject, however, to payment of any break funding indemnification amounts owing pursuant to the paragraph entitled “Break Funding Indemnification”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Increased Costs; Yield Protection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On written demand, together with written evidence of the justification therefor, the Borrower agrees to pay the 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Times;Serif" w:hAnsi="Times New Roman;Times;Serif"/>
          <w:b/>
          <w:i w:val="false"/>
          <w:caps w:val="false"/>
          <w:smallCaps w:val="false"/>
          <w:sz w:val="20"/>
        </w:rPr>
        <w:t>Change in Law</w:t>
      </w:r>
      <w:r>
        <w:rPr>
          <w:rFonts w:ascii="Times New Roman;Times;Serif" w:hAnsi="Times New Roman;Times;Serif"/>
          <w:b w:val="false"/>
          <w:i w:val="false"/>
          <w:caps w:val="false"/>
          <w:smallCaps w:val="false"/>
          <w:sz w:val="20"/>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Break Funding Indemnification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agrees to indemnify the Bank against any liabilities, losses or expenses (including, without limitation, loss of margin, any loss or expense sustained or incurred in liquidating or employing deposits from third parties, and any loss or expense incurred in connection with funds acquired to effect, fund or maintain any advance (or any part thereof) bearing interest at a fixed rate) which the Bank sustains or incurs as a consequence of either (i) the Borrower’s failure to make a payment on the due date thereof, (ii) the Borrower’s revocation (expressly, by later inconsistent notices or otherwise) in whole or in part of any notice given to Bank to request, convert, renew or prepay any advance bearing interest at a fixed rate, or (iii) the Borrower’s payment or prepayment (whether voluntary, after acceleration of the maturity of this Note or otherwise) or conversion of any advance bearing interest at a fixed rate on a day other than the regularly scheduled due date therefor. A notice as to any amounts payable pursuant to this paragraph given to the Borrower by the Bank shall, in the absence of manifest error, be conclusive and shall be payable upon demand. The Borrower’s indemnification obligations hereunder shall survive the payment in full of the advances and all other amounts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Other Loan Documents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is issued in connection with a letter agreement or loan agreement between the Borrower and the Bank, dated on or before the date hereof, and the other agreements and documents executed and/or delivered in connection therewith or referred to therein, the terms of which are incorporated herein by reference (as amended, modified or renewed from time to time, collectively the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Events of Default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occurrence of any of the following events will be deemed to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under this Note: (i) the nonpayment of 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Times;Serif" w:hAnsi="Times New Roman;Times;Serif"/>
          <w:b/>
          <w:i w:val="false"/>
          <w:caps w:val="false"/>
          <w:smallCaps w:val="false"/>
          <w:sz w:val="20"/>
        </w:rPr>
        <w:t>Obligor</w:t>
      </w:r>
      <w:r>
        <w:rPr>
          <w:rFonts w:ascii="Times New Roman;Times;Serif" w:hAnsi="Times New Roman;Times;Serif"/>
          <w:b w:val="false"/>
          <w:i w:val="false"/>
          <w:caps w:val="false"/>
          <w:smallCaps w:val="false"/>
          <w:sz w:val="20"/>
        </w:rPr>
        <w:t>” means any Borrower and any guarantor of, or any pledgor, mortgagor or other person or entity providing collateral support for, the Borrower’s obligations to the Bank existing on the date of this Note or arising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 These rights and remedies shall include, without limitation, the right to apply by appropriate judicial proceedings for appointment of a receiver for the Borrower or all or part of any collateral or any assets of the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Right of Setoff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addition to all liens upon and rights of setoff against the Borrower’s money, securities or other property given to the Bank by law, 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i w:val="false"/>
          <w:caps w:val="false"/>
          <w:smallCaps w:val="false"/>
          <w:sz w:val="20"/>
          <w:u w:val="single"/>
        </w:rPr>
        <w:t>Indemnity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agrees to indemnify each of the Bank, each legal entity, if any, who controls, is controlled by or is under common control with the Bank, and each of their respective directors, officers and employees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advance hereunder and the assignment of any rights hereunder. The Borrower may participate at its expense in the defense of any such action or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i w:val="false"/>
          <w:caps w:val="false"/>
          <w:smallCaps w:val="false"/>
          <w:sz w:val="20"/>
          <w:u w:val="single"/>
        </w:rPr>
        <w:t>Miscellaneous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must be in 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means: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Borrower may not assign this Note in whole or in part without the Bank’s written consent and the Bank at any time may assign this Note in whole or in part.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val="false"/>
          <w:smallCaps w:val="false"/>
          <w:sz w:val="20"/>
          <w:u w:val="single"/>
        </w:rPr>
        <w:t>Governing Law and Venue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has been delivered to and accepted by the Bank and will be deemed to be made in the State where the Bank’s office indicated above is located (the “</w:t>
      </w:r>
      <w:r>
        <w:rPr>
          <w:rFonts w:ascii="Times New Roman;Times;Serif" w:hAnsi="Times New Roman;Times;Serif"/>
          <w:b/>
          <w:i w:val="false"/>
          <w:caps w:val="false"/>
          <w:smallCaps w:val="false"/>
          <w:sz w:val="20"/>
        </w:rPr>
        <w:t>State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smallCaps/>
          <w:sz w:val="20"/>
        </w:rPr>
        <w:t>This Note will be interpreted and the rights and liabilities of the Bank and the Borrower determined in accordance with the laws of the state, excluding its conflict of laws rules, including without limitation the Electronic Transactions Act (or equivalent) in effect in the state (or, to the extent controlling, the laws of the United States Of America, including without limitation the Electronic Signatures in Global and National Commerce Act)</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The Borrower hereby irrevocably consents to 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val="false"/>
          <w:smallCaps w:val="false"/>
          <w:sz w:val="20"/>
          <w:u w:val="single"/>
        </w:rPr>
        <w:t>Commercial Purpose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represents that the indebtedness evidenced by this Note is being incurred by the Borrower solely for the purpose of acquiring or carrying on a business, professional or commercial activity, and not for personal, family or household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t>
      </w:r>
      <w:r>
        <w:rPr>
          <w:rFonts w:ascii="Times New Roman;Times;Serif" w:hAnsi="Times New Roman;Times;Serif"/>
          <w:b/>
          <w:i w:val="false"/>
          <w:caps w:val="false"/>
          <w:smallCaps w:val="false"/>
          <w:sz w:val="20"/>
          <w:u w:val="single"/>
        </w:rPr>
        <w:t>USA PATRIOT Act Notice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To help the government fight the funding of terrorism and money laundering activities, Federal law requires all financial 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i w:val="false"/>
          <w:caps w:val="false"/>
          <w:smallCaps w:val="false"/>
          <w:sz w:val="20"/>
          <w:u w:val="single"/>
        </w:rPr>
        <w:t>Representation by Counsel</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Borrower hereby represents that it has been represented by competent counsel of its choice, or has knowingly waived its right to use and retain counsel, in the negotiation and execution of this Note and the other Loan Documents; that it has read and fully understood the terms hereof; that the Borrower and any retained counsel have been afforded an 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val="false"/>
          <w:smallCaps w:val="false"/>
          <w:sz w:val="20"/>
          <w:u w:val="single"/>
        </w:rPr>
        <w:t>Authorization to Obtain Credit 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signing below, each person, who is signing in his or her individual capacity, requests and provides 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Counterparts; Electronic Signatures and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and any other Loan Document may be signed in any number of counterpart copies and 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smallCaps/>
          <w:sz w:val="20"/>
        </w:rPr>
        <w:t>The Borrower irrevocably waives any and all rights the Borrower may have to a trial by jury in any action, proceeding or claim of any nature relating to this Note, any documents executed in connection with this Note or any transaction contemplated in any of such documents. The Borrower acknowledges that the foregoing waiver is knowing and voluntary.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Borrower acknowledges that it has read and understands all the provisions of this Note, including the waiver of jury trial, and has been advised by counsel as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xml:space="preserve"> the due execution hereof as a document under seal, as of the date first written above, with the intent to be legally bound hereby.</w:t>
      </w:r>
    </w:p>
    <w:p>
      <w:pPr>
        <w:pStyle w:val="TextBody"/>
        <w:bidi w:val="0"/>
        <w:spacing w:before="0" w:after="0"/>
        <w:ind w:left="0" w:right="0" w:hanging="0"/>
        <w:jc w:val="left"/>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60"/>
        <w:gridCol w:w="669"/>
        <w:gridCol w:w="34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Moatable US Holdco, Inc., a Delaware corporation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3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514" w:type="dxa"/>
        <w:jc w:val="left"/>
        <w:tblInd w:w="0" w:type="dxa"/>
        <w:tblLayout w:type="fixed"/>
        <w:tblCellMar>
          <w:top w:w="0" w:type="dxa"/>
          <w:left w:w="0" w:type="dxa"/>
          <w:bottom w:w="0" w:type="dxa"/>
          <w:right w:w="0" w:type="dxa"/>
        </w:tblCellMar>
      </w:tblPr>
      <w:tblGrid>
        <w:gridCol w:w="75"/>
        <w:gridCol w:w="60"/>
        <w:gridCol w:w="1033"/>
        <w:gridCol w:w="2346"/>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346"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46"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3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Lofty Inc., a Delaware corporation</w:t>
            </w:r>
          </w:p>
        </w:tc>
      </w:tr>
      <w:tr>
        <w:trPr/>
        <w:tc>
          <w:tcPr>
            <w:tcW w:w="135" w:type="dxa"/>
            <w:gridSpan w:val="2"/>
            <w:tcBorders/>
            <w:vAlign w:val="center"/>
          </w:tcPr>
          <w:p>
            <w:pPr>
              <w:pStyle w:val="TableContents"/>
              <w:bidi w:val="0"/>
              <w:spacing w:before="0" w:after="283"/>
              <w:jc w:val="left"/>
              <w:rPr/>
            </w:pPr>
            <w:r>
              <w:rPr/>
              <w:t> </w:t>
            </w:r>
          </w:p>
        </w:tc>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bl>
    <w:p>
      <w:pPr>
        <w:pStyle w:val="TextBody"/>
        <w:bidi w:val="0"/>
        <w:spacing w:before="0" w:after="283"/>
        <w:jc w:val="left"/>
        <w:rPr/>
      </w:pPr>
      <w:r>
        <w:rPr/>
        <w:t> </w:t>
      </w:r>
    </w:p>
    <w:tbl>
      <w:tblPr>
        <w:tblW w:w="2058" w:type="dxa"/>
        <w:jc w:val="left"/>
        <w:tblInd w:w="0" w:type="dxa"/>
        <w:tblLayout w:type="fixed"/>
        <w:tblCellMar>
          <w:top w:w="0" w:type="dxa"/>
          <w:left w:w="0" w:type="dxa"/>
          <w:bottom w:w="0" w:type="dxa"/>
          <w:right w:w="0" w:type="dxa"/>
        </w:tblCellMar>
      </w:tblPr>
      <w:tblGrid>
        <w:gridCol w:w="38"/>
        <w:gridCol w:w="60"/>
        <w:gridCol w:w="320"/>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559" w:type="dxa"/>
        <w:jc w:val="left"/>
        <w:tblInd w:w="0" w:type="dxa"/>
        <w:tblLayout w:type="fixed"/>
        <w:tblCellMar>
          <w:top w:w="0" w:type="dxa"/>
          <w:left w:w="0" w:type="dxa"/>
          <w:bottom w:w="0" w:type="dxa"/>
          <w:right w:w="0" w:type="dxa"/>
        </w:tblCellMar>
      </w:tblPr>
      <w:tblGrid>
        <w:gridCol w:w="75"/>
        <w:gridCol w:w="60"/>
        <w:gridCol w:w="1047"/>
        <w:gridCol w:w="2377"/>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377"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77"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34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Trucker Path, Inc., a Delaware corporation</w:t>
            </w:r>
          </w:p>
        </w:tc>
      </w:tr>
      <w:tr>
        <w:trPr/>
        <w:tc>
          <w:tcPr>
            <w:tcW w:w="135" w:type="dxa"/>
            <w:gridSpan w:val="2"/>
            <w:tcBorders/>
            <w:vAlign w:val="center"/>
          </w:tcPr>
          <w:p>
            <w:pPr>
              <w:pStyle w:val="TableContents"/>
              <w:bidi w:val="0"/>
              <w:spacing w:before="0" w:after="283"/>
              <w:jc w:val="left"/>
              <w:rPr/>
            </w:pPr>
            <w:r>
              <w:rPr/>
              <w:t> </w:t>
            </w:r>
          </w:p>
        </w:tc>
        <w:tc>
          <w:tcPr>
            <w:tcW w:w="34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75"/>
        <w:gridCol w:w="60"/>
        <w:gridCol w:w="320"/>
        <w:gridCol w:w="1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340" w:type="dxa"/>
        <w:jc w:val="left"/>
        <w:tblInd w:w="0" w:type="dxa"/>
        <w:tblLayout w:type="fixed"/>
        <w:tblCellMar>
          <w:top w:w="0" w:type="dxa"/>
          <w:left w:w="0" w:type="dxa"/>
          <w:bottom w:w="0" w:type="dxa"/>
          <w:right w:w="0" w:type="dxa"/>
        </w:tblCellMar>
      </w:tblPr>
      <w:tblGrid>
        <w:gridCol w:w="75"/>
        <w:gridCol w:w="60"/>
        <w:gridCol w:w="980"/>
        <w:gridCol w:w="22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525936d1_ex10-3.htm"/>
      <w:bookmarkStart w:id="24" w:name="kstm2525936d1_ex103"/>
      <w:bookmarkEnd w:id="23"/>
      <w:bookmarkEnd w:id="24"/>
      <w:r>
        <w:rPr/>
        <w:t> </w:t>
      </w:r>
      <w:r>
        <w:br w:type="page"/>
      </w:r>
    </w:p>
    <w:p>
      <w:pPr>
        <w:pStyle w:val="TextBody"/>
        <w:bidi w:val="0"/>
        <w:jc w:val="right"/>
        <w:rPr>
          <w:b/>
          <w:sz w:val="20"/>
        </w:rPr>
      </w:pPr>
      <w:r>
        <w:rPr>
          <w:b/>
          <w:sz w:val="20"/>
        </w:rPr>
        <w:t>Exhibit 10.3</w:t>
      </w:r>
    </w:p>
    <w:p>
      <w:pPr>
        <w:pStyle w:val="TextBody"/>
        <w:bidi w:val="0"/>
        <w:spacing w:before="0" w:after="283"/>
        <w:jc w:val="left"/>
        <w:rPr/>
      </w:pPr>
      <w:r>
        <w:rPr/>
        <w:t> </w:t>
      </w:r>
    </w:p>
    <w:tbl>
      <w:tblPr>
        <w:tblW w:w="3515" w:type="dxa"/>
        <w:jc w:val="left"/>
        <w:tblInd w:w="0" w:type="dxa"/>
        <w:tblLayout w:type="fixed"/>
        <w:tblCellMar>
          <w:top w:w="0" w:type="dxa"/>
          <w:left w:w="0" w:type="dxa"/>
          <w:bottom w:w="0" w:type="dxa"/>
          <w:right w:w="0" w:type="dxa"/>
        </w:tblCellMar>
      </w:tblPr>
      <w:tblGrid>
        <w:gridCol w:w="1580"/>
        <w:gridCol w:w="1935"/>
      </w:tblGrid>
      <w:tr>
        <w:trPr/>
        <w:tc>
          <w:tcPr>
            <w:tcW w:w="1580" w:type="dxa"/>
            <w:tcBorders/>
            <w:vAlign w:val="center"/>
          </w:tcPr>
          <w:p>
            <w:pPr>
              <w:pStyle w:val="TableContents"/>
              <w:bidi w:val="0"/>
              <w:spacing w:before="0" w:after="283"/>
              <w:jc w:val="left"/>
              <w:rPr>
                <w:b/>
                <w:sz w:val="20"/>
              </w:rPr>
            </w:pPr>
            <w:r>
              <w:rPr>
                <w:b/>
                <w:sz w:val="20"/>
              </w:rPr>
              <w:t>Pledge Agreement</w:t>
              <w:br/>
            </w:r>
            <w:r>
              <w:rPr>
                <w:b/>
                <w:color w:val="000000"/>
                <w:sz w:val="20"/>
              </w:rPr>
              <w:t>(Bank Deposits)</w:t>
            </w:r>
          </w:p>
        </w:tc>
        <w:tc>
          <w:tcPr>
            <w:tcW w:w="1935" w:type="dxa"/>
            <w:tcBorders/>
            <w:vAlign w:val="center"/>
          </w:tcPr>
          <w:p>
            <w:pPr>
              <w:pStyle w:val="TableContents"/>
              <w:bidi w:val="0"/>
              <w:spacing w:before="0" w:after="283"/>
              <w:jc w:val="right"/>
              <w:rPr/>
            </w:pPr>
            <w:r>
              <w:rPr/>
              <w:drawing>
                <wp:inline distT="0" distB="0" distL="0" distR="0">
                  <wp:extent cx="1219200"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19200" cy="45720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PLEDGE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11, 2025, is made by Moatable US Holdco, Inc., a Delaware corporation, and Trucker Path, Inc., a Delaware corporation (individually or collectively, jointly and severally, the “</w:t>
      </w:r>
      <w:r>
        <w:rPr>
          <w:rFonts w:ascii="Times New Roman;Times;Serif" w:hAnsi="Times New Roman;Times;Serif"/>
          <w:b/>
          <w:i w:val="false"/>
          <w:caps w:val="false"/>
          <w:smallCaps w:val="false"/>
          <w:sz w:val="20"/>
        </w:rPr>
        <w:t>Pledgor</w:t>
      </w:r>
      <w:r>
        <w:rPr>
          <w:rFonts w:ascii="Times New Roman;Times;Serif" w:hAnsi="Times New Roman;Times;Serif"/>
          <w:b w:val="false"/>
          <w:i w:val="false"/>
          <w:caps w:val="false"/>
          <w:smallCaps w:val="false"/>
          <w:sz w:val="20"/>
        </w:rPr>
        <w:t xml:space="preserve">”), with an address at 45 West Buchanan Street, Phoenix, Arizona 85003, in favor of </w:t>
      </w:r>
      <w:r>
        <w:rPr>
          <w:rFonts w:ascii="Times New Roman;Times;Serif" w:hAnsi="Times New Roman;Times;Serif"/>
          <w:b/>
          <w:i w:val="false"/>
          <w:caps w:val="false"/>
          <w:smallCaps w:val="false"/>
          <w:sz w:val="20"/>
        </w:rPr>
        <w:t xml:space="preserve">PNC BANK, NATIONAL ASSOCIATION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Secured Party</w:t>
      </w:r>
      <w:r>
        <w:rPr>
          <w:rFonts w:ascii="Times New Roman;Times;Serif" w:hAnsi="Times New Roman;Times;Serif"/>
          <w:b w:val="false"/>
          <w:i w:val="false"/>
          <w:caps w:val="false"/>
          <w:smallCaps w:val="false"/>
          <w:sz w:val="20"/>
        </w:rPr>
        <w:t>”), with an address at 2801 East Camelback Road, Suite 400, Phoenix, Arizona 85016.</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val="false"/>
          <w:smallCaps w:val="false"/>
          <w:sz w:val="20"/>
          <w:u w:val="single"/>
        </w:rPr>
        <w:t>Pledge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order to induce the Secured Party to extend the Obligations (as defined below), the Pledgor hereby grants a security interest in and pledges to the Secured Party, and to all other direct or indirect subsidiaries of The PNC Financial Services Group, Inc., all of the Pledgor’s right, title and interest in and to the accounts, deposits, deposit accounts, and certificates of deposit, whether negotiable or nonnegotiable, maintained in the name of the Pledgor by the issuing institution and described on Exhibit A attached hereto and made a part hereof, and any and all security entitlements of the Pledgor with respect thereto, whether now owned or hereafter acquired, including those entries on the records of the issuing institution, and any and all renewals, substitutions, replacements and proceeds of any of the foregoing accounts, deposits, deposit accounts, and certificates of deposit and all income, interest and other distributions thereon (collectively, the “</w:t>
      </w:r>
      <w:r>
        <w:rPr>
          <w:rFonts w:ascii="Times New Roman;Times;Serif" w:hAnsi="Times New Roman;Times;Serif"/>
          <w:b/>
          <w:i w:val="false"/>
          <w:caps w:val="false"/>
          <w:smallCaps w:val="false"/>
          <w:sz w:val="20"/>
        </w:rPr>
        <w:t>Collateral</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Pledgor agrees that (i) the Secured Party shall have the right of withdrawal of the Collateral, (ii) the Pledgor shall have the right of withdrawal of the Collateral so long as a minimum balance of $9,945,000.00 is maintained, (iii) the Pledgor shall have no right of withdrawal of the Collateral if such withdrawal would cause the Collateral to be less than $9,945,000.00, and (iv) the Secured Party may make appropriate notations in its books and records (electronic or otherwise) to effectuate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val="false"/>
          <w:smallCaps w:val="false"/>
          <w:sz w:val="20"/>
          <w:u w:val="single"/>
        </w:rPr>
        <w:t>Obligations Secured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Collateral secures payment of all loans, advances, debts, liabilities, obligations, covenants and duties owing from the Pledgor and/or from Lofty Inc., a Delaware corporation (collectively, the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to the Secured Party or to any other direct or indirect subsidiary of The PNC Financial Services Group, Inc., of any kind or nature, present or future (including any interest accruing thereon after maturity, or after the filing of any petition in bankruptcy, or the commencement of any insolvency, reorganization or like proceeding relating to the Pledgor or the Borrower, whether or not a claim for post-filing or post-petition interest is allowed in such proceeding), whether direct or indirect (including those acquired by assignment or participation), absolute or contingent, joint or several, due or to become due, now existing or hereafter arising, whether or not (i) evidenced by any note, guaranty or other instrument, (ii) arising under any agreement, instrument or document, (iii) for the payment of money, (iv) arising by reason of an extension of credit, opening of a letter of credit, loan, equipment lease or guarantee, (v) under any interest rate, commodity or currency swap, future, option or other similar transaction or agreement, (vi) under or by reason of any foreign currency transaction, forward, option or other similar transaction providing for the purchase of one currency in exchange for the sale of another currency, or in any other manner, or (vii) arising out of overdrafts on deposit or other accounts or out of electronic funds transfers (whether by wire transfer or through automated clearing houses or otherwise) or out of the return unpaid of, or other failure of the Secured Party to receive final payment for, any check, item, instrument, payment order or other deposit or credit to a deposit or other account, or out of the Secured Party’s non-receipt of or inability to collect funds or otherwise not being made whole in connection with depository or other similar arrangements; and any amendments, extensions, renewals and increases of or to any of the foregoing, and all costs and expenses of the Secured Party incurred in the documentation, negotiation, modification, enforcement, collection and otherwise in connection with any of the foregoing, including reasonable attorneys’ fees and expenses (hereinafter referred to collectively as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Pledgor represents and warrants to the Secured Party that (a) no prior lien or encumbrance exists on the Collateral, and the Pledgor will not grant or suffer to exist any such lien or encumbrance in the future, other than in favor of the Secured Party, and (b) the Pledgor is the legal owner of the Collateral and has the right to pledge and grant a security interest in the Collateral without the consent of any other party other than the issuing institution, which the Pledgor has caused or will cause to execute the Acknowledgment in substantially the form attached 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val="false"/>
          <w:smallCaps w:val="false"/>
          <w:sz w:val="20"/>
          <w:u w:val="single"/>
        </w:rPr>
        <w:t>Default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If any of the following occur (each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(i) any Event of Default (as defined in any of the Obligations), (ii) any default under any of the Obligations that does not have a defined set of “Events of Default” and the lapse of any notice or cure period provided in such Obligations with respect to such default, (iii) demand by the Secured Party under any of the Obligations that have a demand feature, (iv) the failure by the Pledgor to perform any of its obligations hereunder, (v) the falsity, inaccuracy or material breach by the Pledgor of any written warranty, representation or statement made or furnished to the Secured Party by or on behalf of the Pledgor, (vi) the failure of the Secured Party to have a perfected first priority security interest in the Collateral, (vii) any restriction is imposed on the pledge or transfer of any of the Collateral after the date of this Agreement without the Secured Party’s prior written consent, or (viii)  the breach of the Control Agreement (referred to in Section 6 below), or receipt of notice of termination of the Control Agreement if no successor custodian acceptable to the Secured Party has executed a Control Agreement in form and substance acceptable to the Secured Party on or before 10 days prior to the effective date of the termination, then the Secured Party is authorized in its discretion to declare any or all of the Obligations to be immediately due and payable without demand or notice, which are expressly waived, and may exercise any one or more of the rights and remedies granted pursuant to this Agreement or given to a secured party under the Uniform Commercial Code of the applicable state, as it may be amended from time to time, or otherwise at law or in equity, including without limitation the right to sell or otherwise dispose of any or all of the Collateral at public or private sale, with or without advertisement thereof, upon such terms and conditions as it may deem advisable and at such prices as it may deem best.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Secured Party is authorized to draw the funds represented by the Collateral, in whole or in part, and to do all acts necessary to draw such funds, to apply to all Obligations secured hereby, whether declared immediately due and payable or otherwise, and the officers of the issuing institution are authorized and directed to pay the same to the Secured Party on demand.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The net proceeds arising from the disposition of the Collateral after deducting expenses incurred by the Secured Party will be applied to the Obligations in the order determined by the Secured Party. If any excess remains after the discharge of all of the Obligations, the same will be paid to the Pledgor. If after exhausting all of the Collateral there is a deficiency, the Pledgor or, if the Pledgor is not borrowing from the Secured Party or providing a guaranty of the Borrower’s Obligations, the Borrower will be liable therefor to the Secured Party;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contained herein will obligate the Secured Party to proceed against the Pledgor, the Borrower or any other party obligated under the Obligations or against any other collateral for the Obligations prior to proceeding against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If any demand is made at any time upon the Secured Party for the repayment or recovery of any amount received by it in payment or on account of any of the Obligations and if the Secured Party repays all or any part of such amount by reason of any judgment, decree or order of any court or administrative body or by reason of any settlement or compromise of any such demand, the Pledgor will be and remain liable for the amounts so repaid or recovered to the same extent as if such amount had never been originally received by the Secured Party. The provisions of this section will be and remain effective notwithstanding the release of any of the Collateral by the Secured Party in reliance upon such payment (in which case the Pledgor’s liability will be limited to an amount equal to the fair market value of the Collateral determined as of the date such Collateral was released) and any such release will be without prejudice to the Secured Party’s rights hereunder and will be deemed to have been conditioned upon such payment having become final and irrevocable. This Section shall survive the termination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val="false"/>
          <w:smallCaps w:val="false"/>
          <w:sz w:val="20"/>
          <w:u w:val="single"/>
        </w:rPr>
        <w:t>Interest and Premiums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All interest and premiums declared or paid on the Collateral shall be the property of the Pledgor but shall remain as Collateral, subject to the restrictions contained in this Agreement, unless released by the Secured Party, in its discretion, following a request from Pledgor. At any time after the occurrence of an Event of Default, the Secured Party shall be entitled to apply all interest and premiums declared or paid on the Collateral in accordance with the provisions of Section 4 above.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val="false"/>
          <w:smallCaps w:val="false"/>
          <w:sz w:val="20"/>
          <w:u w:val="single"/>
        </w:rPr>
        <w:t>Securities Account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Pledgor agrees to cause the issuing financial institution or securities intermediary on whose books and records the ownership interest of the Pledgor in the Collateral appears (the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to execute and deliver, contemporaneously herewith, a control agreement or other agreement satisfactory to the Secured Party (the “</w:t>
      </w:r>
      <w:r>
        <w:rPr>
          <w:rFonts w:ascii="Times New Roman;Times;Serif" w:hAnsi="Times New Roman;Times;Serif"/>
          <w:b/>
          <w:i w:val="false"/>
          <w:caps w:val="false"/>
          <w:smallCaps w:val="false"/>
          <w:sz w:val="20"/>
        </w:rPr>
        <w:t>Control Agreement</w:t>
      </w:r>
      <w:r>
        <w:rPr>
          <w:rFonts w:ascii="Times New Roman;Times;Serif" w:hAnsi="Times New Roman;Times;Serif"/>
          <w:b w:val="false"/>
          <w:i w:val="false"/>
          <w:caps w:val="false"/>
          <w:smallCaps w:val="false"/>
          <w:sz w:val="20"/>
        </w:rPr>
        <w:t>”) in order to perfect and protect the Secured Party’s security interest in the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val="false"/>
          <w:smallCaps w:val="false"/>
          <w:sz w:val="20"/>
          <w:u w:val="single"/>
        </w:rPr>
        <w:t>Further Assurances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its signature hereon, the Pledgor hereby irrevocably authorizes the Secured Party, at any time and from time to time, to execute (on behalf of the Pledgor), file and record against the Pledgor any notice, financing statement, continuation statement, amendment statement, instrument, document or agreement under the Uniform Commercial Code that the Secured Party may consider necessary or desirable to create, preserve, continue, perfect or validate any security interest granted hereunder or to enable the Secured Party to exercise or enforce its rights hereunder with respect to such security interest. Without limiting the generality of the foregoing, the Pledgor hereby irrevocably appoints the Secured Party as the Pledgor’s attorney-in-fact to do all acts and things in the Pledgor’s name that the Secured Party may deem necessary or desirable. This power of attorney is coupled with an interest with full power of substitution and is irrevocable. The Pledgor hereby ratifies all that said attorney shall lawfully do or cause to be done by virtue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All notices, demands, requests, consents, approvals and other communications required or permitted hereunder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must be in writing (except as otherwise provided in this Agreement) and will be effective upon receipt. Notices may be given in any manner to which the parties may separately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Notices may be sent to a party’s address as set forth above or to such other address as either the Pledgor or the Secured Party may give to the other for such purpose in accordance with this section.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val="false"/>
          <w:smallCaps w:val="false"/>
          <w:sz w:val="20"/>
          <w:u w:val="single"/>
        </w:rPr>
        <w:t>Preservation of Rights</w:t>
      </w:r>
      <w:r>
        <w:rPr>
          <w:rFonts w:ascii="Times New Roman;Times;Serif" w:hAnsi="Times New Roman;Times;Serif"/>
          <w:b w:val="false"/>
          <w:i w:val="false"/>
          <w:caps w:val="false"/>
          <w:smallCaps w:val="false"/>
          <w:sz w:val="20"/>
        </w:rPr>
        <w:t>.  (a) No delay or omission on the Secured Party’s part to exercise any right or power arising hereunder will impair any such right or power or be considered a waiver of any such right or power, nor will the Secured Party’s action or inaction impair any such right or power. The Secured Party’s rights and remedies hereunder are cumulative and not exclusive of any other rights or remedies which the Secured Party may have under other agreements, at law or in equity.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Secured Party may, at any time and from time to time, without notice to or the consent of the Pledgor unless otherwise expressly required pursuant to the terms of the Obligations, and without impairing or releasing, discharging or modifying the Pledgor’s liabilities hereunder, (i) change the manner, place, time or terms of payment or performance of or interest rates on, or other terms relating to, any of the Obligations; (ii) renew, substitute, modify, amend or alter, or grant consents or waivers relating to any of the Obligations, any other pledge or security agreements, or any security for any Obligations; (iii) apply any and all payments by whomever paid or however realized including any proceeds of any collateral, to any Obligations of the Pledgor or the Borrower in such order, manner and amount as the Secured Party may determine in its sole discretion; (iv) deal with any other person with respect to any Obligations in such manner as the Secured Party deems appropriate in its sole discretion; (v) substitute, exchange or release any security or guaranty; or (vi) take such actions and exercise such remedies hereunder as provided herein. The Pledgor hereby waives (a) presentment, demand, protest, notice of dishonor and notice of non-payment and all other notices to which the Pledgor might otherwise be entitled, and (b) all defenses based on suretyship or impairment of collateral.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val="false"/>
          <w:smallCaps w:val="false"/>
          <w:sz w:val="20"/>
          <w:u w:val="single"/>
        </w:rPr>
        <w:t>Illegality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case any one or more of the provisions contained in this Agreement should be invalid, illegal or unenforceable in any respect, it shall not affect or impair the validity, legality and enforceability of the remaining provisions in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val="false"/>
          <w:smallCaps w:val="false"/>
          <w:sz w:val="20"/>
          <w:u w:val="single"/>
        </w:rPr>
        <w:t>Changes in Writing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 modification, amendment or waiver of, or consent to any departure by the Pledgor from, any provision of this Agreement will be effective unless made in a writing signed by the Secured Party, and then such waiver or consent shall be effective only in the specific instance and for the purpose for which given. No notice to or demand on the Pledgor in any case will entitle the Pledgor to any other or further notice or demand in the same, similar or other circumstance. Notwithstanding the foregoing, the Secured Party may modify this Agreement for the purpose of completing missing content or correcting erroneous content, without the need for a written amendment, provided that the Secured Party shall send a copy of any such modification to the Pledgor (which notice may be given by electronic mail).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val="false"/>
          <w:smallCaps w:val="false"/>
          <w:sz w:val="20"/>
          <w:u w:val="single"/>
        </w:rPr>
        <w:t>Entire Agreement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(including the documents and instruments referred to herein) constitutes the entire agreement and supersedes all other prior agreements and understandings, both written and oral, between the Pledgor and the Secured Party with respect to the subject matter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will be binding upon and inure to the benefit of the Pledgor and the Secured Party and their respective heirs, executors, administrators,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Pledgor may not assign this Agreement in whole or in part without the Secured Party’s prior written consent and the Secured Party at any time may assign this Agreement in whole or in part.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val="false"/>
          <w:smallCaps w:val="false"/>
          <w:sz w:val="20"/>
          <w:u w:val="single"/>
        </w:rPr>
        <w:t>Interpretation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this Agreement, unless the Secured Party and the Pledgor otherwise agree in writing, the singular includes the plural and the plural the singular; references to statutes are to be construed as including all statutory provisions consolidating, amending or replacing the statute referred to; the word “or” shall be deemed to include “and/or”, the words “including”, “includes” and “include” shall be deemed to be followed by the words “without limitation”; and references to agreements and other contractual instruments shall be deemed to include all subsequent amendments and other modifications to such instruments, but only to the extent such amendments and other modifications are not prohibited by the terms of this Agreement. Section headings in this Agreement are included for convenience of reference only and shall not constitute a part of this Agreement for any other purpose. If this Agreement is executed by more than one party as Pledgor, the obligations of such persons or entities will be joint and several.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val="false"/>
          <w:smallCaps w:val="false"/>
          <w:sz w:val="20"/>
          <w:u w:val="single"/>
        </w:rPr>
        <w:t>Indemnity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Pledgor agrees to indemnify each of the Secured Party, each legal entity, if any, who controls, is controlled by or is under common control with the Secured Party, and each of their respective directors, officers and employees (the “</w:t>
      </w:r>
      <w:r>
        <w:rPr>
          <w:rFonts w:ascii="Times New Roman;Times;Serif" w:hAnsi="Times New Roman;Times;Serif"/>
          <w:b/>
          <w:i w:val="false"/>
          <w:caps w:val="false"/>
          <w:smallCaps w:val="false"/>
          <w:sz w:val="20"/>
        </w:rPr>
        <w:t>Indemnified Parties</w:t>
      </w:r>
      <w:r>
        <w:rPr>
          <w:rFonts w:ascii="Times New Roman;Times;Serif" w:hAnsi="Times New Roman;Times;Serif"/>
          <w:b w:val="false"/>
          <w:i w:val="false"/>
          <w:caps w:val="false"/>
          <w:smallCaps w:val="false"/>
          <w:sz w:val="20"/>
        </w:rPr>
        <w:t xml:space="preserve">”), and to hold each Indemnified Party harmless from and against, any and all claims, damages, losses, liabilities and expenses (including all fees and charges of internal or external counsel with whom any Indemnified Party may consult and all expenses of litigation or preparation therefor) which any Indemnified Party may incur, or which may be asserted against any Indemnified Party by any person, entity or governmental authority (including any person or entity claiming derivatively on behalf of the Pledgor), in connection with or arising out of or relating to the matters referred to in this Agreement or under any Control Agreement, whether (a) arising from or incurred in connection with any breach of a representation, warranty or covenant by the Pledgor,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indemnity agreement shall not apply to claims, damages, losses, liabilities and expenses solely attributable to an Indemnified Party’s gross negligence or willful misconduct. The indemnity agreement contained in this Section shall survive the termination of this Agreement. The Pledgor may participate at its expense in the defense of any such action or claim.</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i w:val="false"/>
          <w:caps w:val="false"/>
          <w:smallCaps w:val="false"/>
          <w:sz w:val="20"/>
          <w:u w:val="single"/>
        </w:rPr>
        <w:t>Governing Law and Jurisdiction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Agreement has been delivered to and accepted by the Secured Party and will be deemed to be made in the State where the Secured Party’s office indicated above is located. </w:t>
      </w:r>
      <w:r>
        <w:rPr>
          <w:rFonts w:ascii="Times New Roman;Times;Serif" w:hAnsi="Times New Roman;Times;Serif"/>
          <w:b/>
          <w:i w:val="false"/>
          <w:smallCaps/>
          <w:sz w:val="20"/>
        </w:rPr>
        <w:t>This Agreement will be interpreted and the rights and liabilities of the Pledgor and the Secured Party determined in accordance with the laws of the State where the Secured Party’s office indicated above is located, excluding its conflict of laws rules, including without limitation the Electronic Transactions Act (or equivalent) in such State (or, to the extent controlling, the laws of the United States of America, including without limitation the Electronic Signatures in Global and National Commerce Act).</w:t>
      </w:r>
      <w:r>
        <w:rPr>
          <w:rFonts w:ascii="Times New Roman;Times;Serif" w:hAnsi="Times New Roman;Times;Serif"/>
          <w:b w:val="false"/>
          <w:i w:val="false"/>
          <w:caps w:val="false"/>
          <w:smallCaps w:val="false"/>
          <w:sz w:val="20"/>
        </w:rPr>
        <w:t xml:space="preserve"> The Pledgor hereby irrevocably consents to the exclusive jurisdiction of any state or federal court in the county or judicial district where the Secured Party’s office indicated above is located; provided that nothing contained in this Agreement will prevent the Secured Party from bringing any action, enforcing any award or judgment or exercising any rights against the Pledgor individually, against any security or against any property of the Pledgor within any other county, state or other foreign or domestic jurisdiction. The Pledgor acknowledges and agrees that the venue provided above is the most convenient forum for both the Secured Party and the Pledgor. The Pledgor waives any objection to venue and any objection based on a more convenient forum in any action instituted under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i w:val="false"/>
          <w:caps w:val="false"/>
          <w:smallCaps w:val="false"/>
          <w:sz w:val="20"/>
          <w:u w:val="single"/>
        </w:rPr>
        <w:t>Electronic Signatures and Records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Notwithstanding any other provision herein or in the other loan documents, the Pledgor agrees that this Agreement, the Control Agreement, any amendments thereto and any other information, notice, signature card, agreement or authorization related thereto (each, a “</w:t>
      </w:r>
      <w:r>
        <w:rPr>
          <w:rFonts w:ascii="Times New Roman;Times;Serif" w:hAnsi="Times New Roman;Times;Serif"/>
          <w:b/>
          <w:i w:val="false"/>
          <w:caps w:val="false"/>
          <w:smallCaps w:val="false"/>
          <w:sz w:val="20"/>
        </w:rPr>
        <w:t>Communication</w:t>
      </w:r>
      <w:r>
        <w:rPr>
          <w:rFonts w:ascii="Times New Roman;Times;Serif" w:hAnsi="Times New Roman;Times;Serif"/>
          <w:b w:val="false"/>
          <w:i w:val="false"/>
          <w:caps w:val="false"/>
          <w:smallCaps w:val="false"/>
          <w:sz w:val="20"/>
        </w:rPr>
        <w:t>”) may, at the Secured Party’s option, be in the form of an electronic record. Any Communication may, at the Secured Party’s option, be signed or executed using electronic signatures. For the avoidance of doubt, the authorization under this Section may include, without limitation, use or acceptance by the Secured Party of a manually signed paper Communication which has been converted into electronic form (such as scanned into PDF format) for transmission, delivery and/or retention.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val="false"/>
          <w:smallCaps w:val="false"/>
          <w:sz w:val="20"/>
          <w:u w:val="single"/>
        </w:rPr>
        <w:t>Authorization to Obtain Credit Reports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By signing below, each Pledgor who is an individual provides written authorization to the Secured Party or its designee (and any assignee or potential assignee hereof) to obtain the Pledgor’s personal credit profile from one or more national credit bureaus. Such authorization shall extend to obtaining a credit profile in considering this Agreement and subsequently for the purposes of update, renewal or extension of such credit or additional credit and for reviewing or collecting the resulting account.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val="false"/>
          <w:smallCaps w:val="false"/>
          <w:sz w:val="20"/>
          <w:u w:val="single"/>
        </w:rPr>
        <w:t>Covenants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Unless otherwise agreed in writing between the Pledgor and the Secured Party, the Pledgor agrees to maintain at all times Collateral equal to at least $9,945,000.00, consisting of $9,750,000.00 of Pledgor’s funds and an additional $195,000.00 of Pledgor’s funds deposited as interest reserve. Pledgor agrees to provide additional Collateral to the Secured Party immediately upon the Secured Party’s if the Collateral in the accounts and deposit accounts is ever less than $9,945,000.00.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THE PLEDGOR IRREVOCABLY WAIVES ANY AND ALL RIGHT THE PLEDGOR MAY HAVE TO A TRIAL BY JURY IN ANY ACTION, PROCEEDING OR CLAIM OF ANY NATURE RELATING TO THIS AGREEMENT, ANY DOCUMENTS EXECUTED IN CONNECTION WITH THIS AGREEMENT OR ANY TRANSACTION CONTEMPLATED IN ANY OF SUCH DOCUMENTS. THE PLEDGOR ACKNOWLEDGES THAT THE FOREGOING WAIVER IS KNOWING AND VOLUNTARY.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Pledgor acknowledges that it has read and understands all the provisions of this Agreement, including the waiver of jury trial, and has been advised by counsel as necessary or appropriate. </w:t>
      </w:r>
      <w:r>
        <w:rPr>
          <w:rFonts w:ascii="Times New Roman;Times;Serif" w:hAnsi="Times New Roman;Times;Serif"/>
          <w:b/>
          <w:i w:val="false"/>
          <w:caps w:val="false"/>
          <w:smallCaps w:val="false"/>
          <w:sz w:val="20"/>
          <w:u w:val="single"/>
        </w:rPr>
        <w:t>By signing below, either by handwritten signature or electronic signature, the Pledgor agrees to the terms of this Agreement, and acknowledges receipt of a completed copy of this Agreement</w:t>
      </w:r>
      <w:r>
        <w:rPr>
          <w:rFonts w:ascii="Times New Roman;Times;Serif" w:hAnsi="Times New Roman;Times;Serif"/>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WITNESS</w:t>
      </w:r>
      <w:r>
        <w:rPr>
          <w:rFonts w:ascii="Times New Roman;Times;Serif" w:hAnsi="Times New Roman;Times;Serif"/>
          <w:b w:val="false"/>
          <w:i w:val="false"/>
          <w:caps w:val="false"/>
          <w:smallCaps w:val="false"/>
          <w:sz w:val="20"/>
        </w:rPr>
        <w:t xml:space="preserve"> the due execution hereof as a document under seal, as of the date first written above, with the intent to be legally bound hereby.</w:t>
      </w:r>
    </w:p>
    <w:p>
      <w:pPr>
        <w:pStyle w:val="TextBody"/>
        <w:bidi w:val="0"/>
        <w:spacing w:before="0" w:after="0"/>
        <w:jc w:val="both"/>
        <w:rPr>
          <w:caps w:val="false"/>
          <w:smallCaps w:val="false"/>
        </w:rPr>
      </w:pPr>
      <w:r>
        <w:rPr>
          <w:caps w:val="false"/>
          <w:smallCaps w:val="false"/>
        </w:rPr>
        <w:t> </w:t>
      </w:r>
    </w:p>
    <w:tbl>
      <w:tblPr>
        <w:tblW w:w="4234" w:type="dxa"/>
        <w:jc w:val="left"/>
        <w:tblInd w:w="0" w:type="dxa"/>
        <w:tblLayout w:type="fixed"/>
        <w:tblCellMar>
          <w:top w:w="0" w:type="dxa"/>
          <w:left w:w="0" w:type="dxa"/>
          <w:bottom w:w="0" w:type="dxa"/>
          <w:right w:w="0" w:type="dxa"/>
        </w:tblCellMar>
      </w:tblPr>
      <w:tblGrid>
        <w:gridCol w:w="75"/>
        <w:gridCol w:w="60"/>
        <w:gridCol w:w="669"/>
        <w:gridCol w:w="343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Moatable US Holdco, Inc., a Delaware corporation</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3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340" w:type="dxa"/>
        <w:jc w:val="left"/>
        <w:tblInd w:w="0" w:type="dxa"/>
        <w:tblLayout w:type="fixed"/>
        <w:tblCellMar>
          <w:top w:w="0" w:type="dxa"/>
          <w:left w:w="0" w:type="dxa"/>
          <w:bottom w:w="0" w:type="dxa"/>
          <w:right w:w="0" w:type="dxa"/>
        </w:tblCellMar>
      </w:tblPr>
      <w:tblGrid>
        <w:gridCol w:w="75"/>
        <w:gridCol w:w="60"/>
        <w:gridCol w:w="980"/>
        <w:gridCol w:w="22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tbl>
      <w:tblPr>
        <w:tblW w:w="3500" w:type="dxa"/>
        <w:jc w:val="left"/>
        <w:tblInd w:w="0" w:type="dxa"/>
        <w:tblLayout w:type="fixed"/>
        <w:tblCellMar>
          <w:top w:w="0" w:type="dxa"/>
          <w:left w:w="0" w:type="dxa"/>
          <w:bottom w:w="0" w:type="dxa"/>
          <w:right w:w="0" w:type="dxa"/>
        </w:tblCellMar>
      </w:tblPr>
      <w:tblGrid>
        <w:gridCol w:w="75"/>
        <w:gridCol w:w="3425"/>
      </w:tblGrid>
      <w:tr>
        <w:trPr/>
        <w:tc>
          <w:tcPr>
            <w:tcW w:w="75" w:type="dxa"/>
            <w:tcBorders/>
            <w:vAlign w:val="center"/>
          </w:tcPr>
          <w:p>
            <w:pPr>
              <w:pStyle w:val="TableContents"/>
              <w:bidi w:val="0"/>
              <w:spacing w:before="0" w:after="283"/>
              <w:ind w:left="0" w:right="0" w:hanging="720"/>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Trucker Path, Inc., a Delaware corporation</w:t>
            </w:r>
          </w:p>
        </w:tc>
      </w:tr>
      <w:tr>
        <w:trPr/>
        <w:tc>
          <w:tcPr>
            <w:tcW w:w="75"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(Corporation, Partnership or other Entity)</w:t>
            </w:r>
          </w:p>
        </w:tc>
      </w:tr>
    </w:tbl>
    <w:p>
      <w:pPr>
        <w:pStyle w:val="TextBody"/>
        <w:bidi w:val="0"/>
        <w:spacing w:before="0" w:after="283"/>
        <w:jc w:val="left"/>
        <w:rPr/>
      </w:pPr>
      <w:r>
        <w:rPr/>
        <w:t> </w:t>
      </w:r>
    </w:p>
    <w:tbl>
      <w:tblPr>
        <w:tblW w:w="2095" w:type="dxa"/>
        <w:jc w:val="left"/>
        <w:tblInd w:w="0" w:type="dxa"/>
        <w:tblLayout w:type="fixed"/>
        <w:tblCellMar>
          <w:top w:w="0" w:type="dxa"/>
          <w:left w:w="0" w:type="dxa"/>
          <w:bottom w:w="0" w:type="dxa"/>
          <w:right w:w="0" w:type="dxa"/>
        </w:tblCellMar>
      </w:tblPr>
      <w:tblGrid>
        <w:gridCol w:w="75"/>
        <w:gridCol w:w="60"/>
        <w:gridCol w:w="320"/>
        <w:gridCol w:w="1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40" w:type="dxa"/>
            <w:tcBorders>
              <w:bottom w:val="single" w:sz="8" w:space="0" w:color="000000"/>
            </w:tcBorders>
            <w:tcMar>
              <w:bottom w:w="28" w:type="dxa"/>
            </w:tcMar>
            <w:vAlign w:val="center"/>
          </w:tcPr>
          <w:p>
            <w:pPr>
              <w:pStyle w:val="TableContents"/>
              <w:bidi w:val="0"/>
              <w:spacing w:before="0" w:after="283"/>
              <w:jc w:val="left"/>
              <w:rPr/>
            </w:pPr>
            <w:r>
              <w:rPr/>
              <w:t>/s/ Scott S. Stone</w:t>
            </w:r>
          </w:p>
        </w:tc>
      </w:tr>
    </w:tbl>
    <w:tbl>
      <w:tblPr>
        <w:tblW w:w="830" w:type="dxa"/>
        <w:jc w:val="left"/>
        <w:tblInd w:w="0" w:type="dxa"/>
        <w:tblLayout w:type="fixed"/>
        <w:tblCellMar>
          <w:top w:w="0" w:type="dxa"/>
          <w:left w:w="0" w:type="dxa"/>
          <w:bottom w:w="0" w:type="dxa"/>
          <w:right w:w="0" w:type="dxa"/>
        </w:tblCellMar>
      </w:tblPr>
      <w:tblGrid>
        <w:gridCol w:w="75"/>
        <w:gridCol w:w="60"/>
        <w:gridCol w:w="60"/>
        <w:gridCol w:w="63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(SEAL)</w:t>
            </w:r>
          </w:p>
        </w:tc>
      </w:tr>
    </w:tbl>
    <w:tbl>
      <w:tblPr>
        <w:tblW w:w="3340" w:type="dxa"/>
        <w:jc w:val="left"/>
        <w:tblInd w:w="0" w:type="dxa"/>
        <w:tblLayout w:type="fixed"/>
        <w:tblCellMar>
          <w:top w:w="0" w:type="dxa"/>
          <w:left w:w="0" w:type="dxa"/>
          <w:bottom w:w="0" w:type="dxa"/>
          <w:right w:w="0" w:type="dxa"/>
        </w:tblCellMar>
      </w:tblPr>
      <w:tblGrid>
        <w:gridCol w:w="75"/>
        <w:gridCol w:w="60"/>
        <w:gridCol w:w="980"/>
        <w:gridCol w:w="222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Scott S. Stone</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25" w:type="dxa"/>
            <w:tcBorders>
              <w:bottom w:val="single" w:sz="8" w:space="0" w:color="000000"/>
            </w:tcBorders>
            <w:tcMar>
              <w:bottom w:w="28" w:type="dxa"/>
            </w:tcMar>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PLEDGE AGREEMENT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 DEPOSITS)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- 7 -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21681</Words>
  <Characters>113873</Characters>
  <CharactersWithSpaces>137070</CharactersWithSpaces>
  <Paragraphs>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